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cyber-incident-executive-summary"/>
    <w:p>
      <w:pPr>
        <w:pStyle w:val="Title"/>
        <w:spacing w:before="0" w:after="20" w:line="240" w:lineRule="auto"/>
        <w:pBdr>
          <w:bottom w:val="single" w:sz="18" w:space="5" w:color="0CB1FB"/>
        </w:pBdr>
      </w:pPr>
      <w:r>
        <w:rPr>
          <w:sz w:val="42"/>
        </w:rPr>
        <w:t xml:space="preserve">Cyber Incident Executive Summary</w:t>
      </w:r>
    </w:p>
    <w:p>
      <w:pPr>
        <w:pStyle w:val="Subtitle"/>
        <w:spacing w:after="20" w:line="240" w:lineRule="auto"/>
      </w:pPr>
      <w:r>
        <w:rPr>
          <w:i/>
          <w:iCs/>
        </w:rPr>
        <w:t xml:space="preserve">Alerts to Answers Analyst Field Guide 08 - v21</w:t>
      </w:r>
    </w:p>
    <w:bookmarkStart w:id="9" w:name="introduction"/>
    <w:p>
      <w:pPr>
        <w:pStyle w:val="Heading2"/>
        <w:spacing w:after="20" w:line="240" w:lineRule="auto" w:before="80"/>
      </w:pPr>
      <w:r>
        <w:t xml:space="preserve">Introduction</w:t>
      </w:r>
    </w:p>
    <w:p>
      <w:pPr>
        <w:pStyle w:val="FirstParagraph"/>
        <w:spacing w:after="20" w:line="240" w:lineRule="auto"/>
      </w:pPr>
      <w:r>
        <w:t xml:space="preserve">Use this guide to turn verified investigation findings into a concise executive summary that explains business impact, response status, residual risk, and the decision leadership needs to make. It extends the evidence record established during FG 07 triage into leadership reporting.</w:t>
      </w:r>
    </w:p>
    <w:bookmarkEnd w:id="9"/>
    <w:bookmarkStart w:id="10" w:name="chapter-and-lab-alignment"/>
    <w:p>
      <w:pPr>
        <w:pStyle w:val="Heading2"/>
        <w:spacing w:after="20" w:line="240" w:lineRule="auto" w:before="80"/>
      </w:pPr>
      <w:r>
        <w:t xml:space="preserve">Chapter and Lab Alignment</w:t>
      </w:r>
    </w:p>
    <w:tbl>
      <w:tblPr>
        <w:tblStyle w:val="Table"/>
        <w:tblW w:type="dxa" w:w="9360"/>
        <w:jc w:val="left"/>
        <w:tblLayout w:type="fixed"/>
        <w:tblLook w:firstRow="1" w:lastRow="0" w:firstColumn="0" w:lastColumn="0" w:noHBand="0" w:noVBand="0" w:val="0020"/>
        <w:tblInd w:w="120" w:type="dxa"/>
      </w:tblPr>
      <w:tblGrid>
        <w:gridCol w:w="2700"/>
        <w:gridCol w:w="6660"/>
      </w:tblGrid>
      <w:tr>
        <w:trPr>
          <w:tblHeader w:val="on"/>
          <w:tblHeader w:val="true"/>
          <w:cantSplit/>
        </w:trPr>
        <w:tc>
          <w:tcPr>
            <w:tcW w:w="2700" w:type="dxa"/>
            <w:vAlign w:val="center"/>
            <w:shd w:fill="1A2B49"/>
          </w:tcPr>
          <w:p>
            <w:pPr>
              <w:pStyle w:val="Compact"/>
              <w:spacing w:after="40"/>
            </w:pPr>
            <w:r>
              <w:rPr>
                <w:rFonts w:ascii="Calibri" w:hAnsi="Calibri"/>
                <w:b/>
                <w:color w:val="FFFFFF"/>
                <w:sz w:val="18"/>
              </w:rPr>
              <w:t xml:space="preserve">Alignment</w:t>
            </w:r>
          </w:p>
        </w:tc>
        <w:tc>
          <w:tcPr>
            <w:tcW w:w="6660" w:type="dxa"/>
            <w:vAlign w:val="center"/>
            <w:shd w:fill="1A2B49"/>
          </w:tcPr>
          <w:p>
            <w:pPr>
              <w:pStyle w:val="Compact"/>
              <w:spacing w:after="40"/>
            </w:pPr>
            <w:r>
              <w:rPr>
                <w:rFonts w:ascii="Calibri" w:hAnsi="Calibri"/>
                <w:b/>
                <w:color w:val="FFFFFF"/>
                <w:sz w:val="18"/>
              </w:rPr>
              <w:t xml:space="preserve">Placement</w:t>
            </w:r>
          </w:p>
        </w:tc>
      </w:tr>
      <w:tr>
        <w:trPr>
          <w:cantSplit/>
        </w:trPr>
        <w:tc>
          <w:tcPr>
            <w:tcW w:w="2700" w:type="dxa"/>
            <w:vAlign w:val="center"/>
          </w:tcPr>
          <w:p>
            <w:pPr>
              <w:pStyle w:val="Compact"/>
              <w:spacing w:before="20" w:after="40" w:line="240" w:lineRule="auto"/>
            </w:pPr>
            <w:r>
              <w:rPr>
                <w:rFonts w:ascii="Calibri" w:hAnsi="Calibri"/>
                <w:color w:val="202A3A"/>
                <w:sz w:val="18"/>
              </w:rPr>
              <w:t xml:space="preserve">Primary chapter alignment</w:t>
            </w:r>
          </w:p>
        </w:tc>
        <w:tc>
          <w:tcPr>
            <w:tcW w:w="6660" w:type="dxa"/>
            <w:vAlign w:val="center"/>
          </w:tcPr>
          <w:p>
            <w:pPr>
              <w:pStyle w:val="Compact"/>
              <w:spacing w:before="20" w:after="40" w:line="240" w:lineRule="auto"/>
            </w:pPr>
            <w:r>
              <w:rPr>
                <w:rFonts w:ascii="Calibri" w:hAnsi="Calibri"/>
                <w:color w:val="202A3A"/>
                <w:sz w:val="18"/>
              </w:rPr>
              <w:t xml:space="preserve">Chapter 7 - Digital Forensics and Incident Response</w:t>
            </w:r>
          </w:p>
        </w:tc>
      </w:tr>
      <w:tr>
        <w:trPr>
          <w:cantSplit/>
        </w:trPr>
        <w:tc>
          <w:tcPr>
            <w:tcW w:w="2700" w:type="dxa"/>
            <w:vAlign w:val="center"/>
            <w:shd w:fill="F3F5F7"/>
          </w:tcPr>
          <w:p>
            <w:pPr>
              <w:pStyle w:val="Compact"/>
              <w:spacing w:before="20" w:after="40" w:line="240" w:lineRule="auto"/>
            </w:pPr>
            <w:r>
              <w:rPr>
                <w:rFonts w:ascii="Calibri" w:hAnsi="Calibri"/>
                <w:color w:val="202A3A"/>
                <w:sz w:val="18"/>
              </w:rPr>
              <w:t xml:space="preserve">Supporting chapter alignment</w:t>
            </w:r>
          </w:p>
        </w:tc>
        <w:tc>
          <w:tcPr>
            <w:tcW w:w="6660" w:type="dxa"/>
            <w:vAlign w:val="center"/>
            <w:shd w:fill="F3F5F7"/>
          </w:tcPr>
          <w:p>
            <w:pPr>
              <w:pStyle w:val="Compact"/>
              <w:spacing w:before="20" w:after="40" w:line="240" w:lineRule="auto"/>
            </w:pPr>
            <w:r>
              <w:rPr>
                <w:rFonts w:ascii="Calibri" w:hAnsi="Calibri"/>
                <w:color w:val="202A3A"/>
                <w:sz w:val="18"/>
              </w:rPr>
              <w:t xml:space="preserve">Chapter 9 - Operating the Platform</w:t>
            </w:r>
          </w:p>
        </w:tc>
      </w:tr>
      <w:tr>
        <w:trPr>
          <w:cantSplit/>
        </w:trPr>
        <w:tc>
          <w:tcPr>
            <w:tcW w:w="2700" w:type="dxa"/>
            <w:vAlign w:val="center"/>
          </w:tcPr>
          <w:p>
            <w:pPr>
              <w:pStyle w:val="Compact"/>
              <w:spacing w:before="20" w:after="40" w:line="240" w:lineRule="auto"/>
            </w:pPr>
            <w:r>
              <w:rPr>
                <w:rFonts w:ascii="Calibri" w:hAnsi="Calibri"/>
                <w:color w:val="202A3A"/>
                <w:sz w:val="18"/>
              </w:rPr>
              <w:t xml:space="preserve">Lab alignment</w:t>
            </w:r>
          </w:p>
        </w:tc>
        <w:tc>
          <w:tcPr>
            <w:tcW w:w="6660" w:type="dxa"/>
            <w:vAlign w:val="center"/>
          </w:tcPr>
          <w:p>
            <w:pPr>
              <w:pStyle w:val="Compact"/>
              <w:spacing w:before="20" w:after="40" w:line="240" w:lineRule="auto"/>
            </w:pPr>
            <w:r>
              <w:rPr>
                <w:rFonts w:ascii="Calibri" w:hAnsi="Calibri"/>
                <w:color w:val="202A3A"/>
                <w:sz w:val="18"/>
              </w:rPr>
              <w:t xml:space="preserve">PL-08 capstone reporting and incident investigation write-ups</w:t>
            </w:r>
          </w:p>
        </w:tc>
      </w:tr>
      <w:tr>
        <w:trPr>
          <w:cantSplit/>
        </w:trPr>
        <w:tc>
          <w:tcPr>
            <w:tcW w:w="2700" w:type="dxa"/>
            <w:vAlign w:val="center"/>
            <w:shd w:fill="F3F5F7"/>
          </w:tcPr>
          <w:p>
            <w:pPr>
              <w:pStyle w:val="Compact"/>
              <w:spacing w:before="20" w:after="40" w:line="240" w:lineRule="auto"/>
            </w:pPr>
            <w:r>
              <w:rPr>
                <w:rFonts w:ascii="Calibri" w:hAnsi="Calibri"/>
                <w:color w:val="202A3A"/>
                <w:sz w:val="18"/>
              </w:rPr>
              <w:t xml:space="preserve">Recommended point of use</w:t>
            </w:r>
          </w:p>
        </w:tc>
        <w:tc>
          <w:tcPr>
            <w:tcW w:w="6660" w:type="dxa"/>
            <w:vAlign w:val="center"/>
            <w:shd w:fill="F3F5F7"/>
          </w:tcPr>
          <w:p>
            <w:pPr>
              <w:pStyle w:val="Compact"/>
              <w:spacing w:before="20" w:after="40" w:line="240" w:lineRule="auto"/>
            </w:pPr>
            <w:r>
              <w:rPr>
                <w:rFonts w:ascii="Calibri" w:hAnsi="Calibri"/>
                <w:color w:val="202A3A"/>
                <w:sz w:val="18"/>
              </w:rPr>
              <w:t xml:space="preserve">After initial triage and evidence validation; update as material facts or decisions change</w:t>
            </w:r>
          </w:p>
        </w:tc>
      </w:tr>
    </w:tbl>
    <w:bookmarkEnd w:id="10"/>
    <w:bookmarkStart w:id="12" w:name="purpose-and-scope"/>
    <w:p>
      <w:pPr>
        <w:pStyle w:val="Heading2"/>
        <w:spacing w:after="20" w:line="240" w:lineRule="auto" w:before="80"/>
      </w:pPr>
      <w:r>
        <w:t xml:space="preserve">Purpose and Scope</w:t>
      </w:r>
    </w:p>
    <w:p>
      <w:pPr>
        <w:pStyle w:val="FirstParagraph"/>
        <w:spacing w:after="20" w:line="240" w:lineRule="auto"/>
      </w:pPr>
      <w:r>
        <w:rPr>
          <w:b/>
          <w:bCs/>
        </w:rPr>
        <w:t xml:space="preserve">Purpose.</w:t>
      </w:r>
      <w:r>
        <w:t xml:space="preserve"> </w:t>
      </w:r>
      <w:r>
        <w:t xml:space="preserve">Give leadership the verified facts needed to understand</w:t>
      </w:r>
      <w:r>
        <w:t xml:space="preserve"> </w:t>
      </w:r>
      <w:r>
        <w:t xml:space="preserve">current business risk, decide, and allocate resources. Executives have</w:t>
      </w:r>
      <w:r>
        <w:t xml:space="preserve"> </w:t>
      </w:r>
      <w:r>
        <w:t xml:space="preserve">limited bandwidth: signal, not noise. Order matters — Bottom Line Up</w:t>
      </w:r>
      <w:r>
        <w:t xml:space="preserve"> </w:t>
      </w:r>
      <w:r>
        <w:t xml:space="preserve">Front. Target one-half page, ≤ 250 words, never more than one page.</w:t>
      </w:r>
    </w:p>
    <w:p>
      <w:pPr>
        <w:pStyle w:val="BodyText"/>
        <w:keepNext/>
        <w:spacing w:after="80" w:line="240" w:lineRule="auto" w:before="80"/>
        <w:jc w:val="center"/>
      </w:pPr>
      <w:r>
        <w:rPr>
          <w:b/>
          <w:bCs/>
          <w:i w:val="0"/>
          <w:color w:val="1565A8"/>
          <w:sz w:val="28"/>
        </w:rPr>
        <w:t xml:space="preserve">“Two lines. One decision. Zero speculation.”</w:t>
      </w:r>
    </w:p>
    <w:p>
      <w:pPr>
        <w:pStyle w:val="BodyText"/>
        <w:keepNext/>
        <w:spacing w:after="80" w:line="240" w:lineRule="auto" w:before="80"/>
        <w:jc w:val="center"/>
      </w:pPr>
      <w:r>
        <w:rPr>
          <w:b/>
          <w:i w:val="0"/>
          <w:iCs/>
          <w:color w:val="1565A8"/>
          <w:sz w:val="24"/>
        </w:rPr>
        <w:t xml:space="preserve">The two-line test: after reading only the first two lines, can the</w:t>
      </w:r>
      <w:r>
        <w:rPr>
          <w:b/>
          <w:i w:val="0"/>
          <w:iCs/>
          <w:color w:val="1565A8"/>
          <w:sz w:val="24"/>
        </w:rPr>
        <w:t xml:space="preserve"> </w:t>
      </w:r>
      <w:r>
        <w:rPr>
          <w:b/>
          <w:i w:val="0"/>
          <w:iCs/>
          <w:color w:val="1565A8"/>
          <w:sz w:val="24"/>
        </w:rPr>
        <w:t xml:space="preserve">executive reader answer —</w:t>
      </w:r>
    </w:p>
    <w:p>
      <w:pPr>
        <w:pStyle w:val="BodyText"/>
        <w:spacing w:after="20" w:line="240" w:lineRule="auto"/>
      </w:pPr>
      <w:r>
        <w:rPr>
          <w:b/>
          <w:bCs/>
          <w:i/>
          <w:iCs/>
        </w:rPr>
        <w:t xml:space="preserve">What happened? Is it controlled? What is the business risk? What</w:t>
      </w:r>
      <w:r>
        <w:rPr>
          <w:b/>
          <w:bCs/>
          <w:i/>
          <w:iCs/>
        </w:rPr>
        <w:t xml:space="preserve"> </w:t>
      </w:r>
      <w:r>
        <w:rPr>
          <w:b/>
          <w:bCs/>
          <w:i/>
          <w:iCs/>
        </w:rPr>
        <w:t xml:space="preserve">decision or resource do you need from me (the executive), and by</w:t>
      </w:r>
      <w:r>
        <w:rPr>
          <w:b/>
          <w:bCs/>
          <w:i/>
          <w:iCs/>
        </w:rPr>
        <w:t xml:space="preserve"> </w:t>
      </w:r>
      <w:r>
        <w:rPr>
          <w:b/>
          <w:bCs/>
          <w:i/>
          <w:iCs/>
        </w:rPr>
        <w:t xml:space="preserve">when?</w:t>
      </w:r>
    </w:p>
    <w:bookmarkStart w:id="11" w:name="rules-of-the-road"/>
    <w:p>
      <w:pPr>
        <w:pStyle w:val="Heading3"/>
        <w:spacing w:after="20" w:line="240" w:lineRule="auto" w:before="80"/>
      </w:pPr>
      <w:r>
        <w:t xml:space="preserve">Rules of the road</w:t>
      </w:r>
    </w:p>
    <w:p>
      <w:pPr>
        <w:widowControl/>
        <w:numPr>
          <w:ilvl w:val="0"/>
          <w:numId w:val="1001"/>
        </w:numPr>
        <w:spacing w:before="0" w:after="20" w:line="240" w:lineRule="auto"/>
      </w:pPr>
      <w:r>
        <w:rPr>
          <w:rFonts w:ascii="Calibri" w:hAnsi="Calibri"/>
          <w:b/>
          <w:bCs/>
          <w:color w:val="202A3A"/>
          <w:sz w:val="20"/>
        </w:rPr>
        <w:t xml:space="preserve">Not legal advice.</w:t>
      </w:r>
      <w:r>
        <w:rPr>
          <w:rFonts w:ascii="Calibri" w:hAnsi="Calibri"/>
          <w:color w:val="202A3A"/>
          <w:sz w:val="20"/>
        </w:rPr>
        <w:t xml:space="preserve"> </w:t>
      </w:r>
      <w:r>
        <w:rPr>
          <w:rFonts w:ascii="Calibri" w:hAnsi="Calibri"/>
          <w:color w:val="202A3A"/>
          <w:sz w:val="20"/>
        </w:rPr>
        <w:t xml:space="preserve">Legal and notification requirements change and</w:t>
      </w:r>
      <w:r>
        <w:rPr>
          <w:rFonts w:ascii="Calibri" w:hAnsi="Calibri"/>
          <w:color w:val="202A3A"/>
          <w:sz w:val="20"/>
        </w:rPr>
        <w:t xml:space="preserve"> </w:t>
      </w:r>
      <w:r>
        <w:rPr>
          <w:rFonts w:ascii="Calibri" w:hAnsi="Calibri"/>
          <w:color w:val="202A3A"/>
          <w:sz w:val="20"/>
        </w:rPr>
        <w:t xml:space="preserve">differ by jurisdiction, sector, contract, and incident facts. Verify</w:t>
      </w:r>
      <w:r>
        <w:rPr>
          <w:rFonts w:ascii="Calibri" w:hAnsi="Calibri"/>
          <w:color w:val="202A3A"/>
          <w:sz w:val="20"/>
        </w:rPr>
        <w:t xml:space="preserve"> </w:t>
      </w:r>
      <w:r>
        <w:rPr>
          <w:rFonts w:ascii="Calibri" w:hAnsi="Calibri"/>
          <w:color w:val="202A3A"/>
          <w:sz w:val="20"/>
        </w:rPr>
        <w:t xml:space="preserve">with authorized counsel and compliance before relying on any clock or</w:t>
      </w:r>
      <w:r>
        <w:rPr>
          <w:rFonts w:ascii="Calibri" w:hAnsi="Calibri"/>
          <w:color w:val="202A3A"/>
          <w:sz w:val="20"/>
        </w:rPr>
        <w:t xml:space="preserve"> </w:t>
      </w:r>
      <w:r>
        <w:rPr>
          <w:rFonts w:ascii="Calibri" w:hAnsi="Calibri"/>
          <w:color w:val="202A3A"/>
          <w:sz w:val="20"/>
        </w:rPr>
        <w:t xml:space="preserve">obligation in this guide.</w:t>
      </w:r>
    </w:p>
    <w:p>
      <w:pPr>
        <w:widowControl/>
        <w:numPr>
          <w:ilvl w:val="0"/>
          <w:numId w:val="1001"/>
        </w:numPr>
        <w:spacing w:before="0" w:after="20" w:line="240" w:lineRule="auto"/>
      </w:pPr>
      <w:r>
        <w:rPr>
          <w:rFonts w:ascii="Calibri" w:hAnsi="Calibri"/>
          <w:b/>
          <w:bCs/>
          <w:color w:val="202A3A"/>
          <w:sz w:val="20"/>
        </w:rPr>
        <w:t xml:space="preserve">Executives read to decide.</w:t>
      </w:r>
      <w:r>
        <w:rPr>
          <w:rFonts w:ascii="Calibri" w:hAnsi="Calibri"/>
          <w:color w:val="202A3A"/>
          <w:sz w:val="20"/>
        </w:rPr>
        <w:t xml:space="preserve"> </w:t>
      </w:r>
      <w:r>
        <w:rPr>
          <w:rFonts w:ascii="Calibri" w:hAnsi="Calibri"/>
          <w:color w:val="202A3A"/>
          <w:sz w:val="20"/>
        </w:rPr>
        <w:t xml:space="preserve">End with the decision and its deadline</w:t>
      </w:r>
      <w:r>
        <w:rPr>
          <w:rFonts w:ascii="Calibri" w:hAnsi="Calibri"/>
          <w:color w:val="202A3A"/>
          <w:sz w:val="20"/>
        </w:rPr>
        <w:t xml:space="preserve"> </w:t>
      </w:r>
      <w:r>
        <w:rPr>
          <w:rFonts w:ascii="Calibri" w:hAnsi="Calibri"/>
          <w:color w:val="202A3A"/>
          <w:sz w:val="20"/>
        </w:rPr>
        <w:t xml:space="preserve">— or say “No decision required.”</w:t>
      </w:r>
    </w:p>
    <w:p>
      <w:pPr>
        <w:widowControl/>
        <w:numPr>
          <w:ilvl w:val="0"/>
          <w:numId w:val="1001"/>
        </w:numPr>
        <w:spacing w:before="0" w:after="20" w:line="240" w:lineRule="auto"/>
      </w:pPr>
      <w:r>
        <w:rPr>
          <w:rFonts w:ascii="Calibri" w:hAnsi="Calibri"/>
          <w:b/>
          <w:bCs/>
          <w:color w:val="202A3A"/>
          <w:sz w:val="20"/>
        </w:rPr>
        <w:t xml:space="preserve">Facts are labeled.</w:t>
      </w:r>
      <w:r>
        <w:rPr>
          <w:rFonts w:ascii="Calibri" w:hAnsi="Calibri"/>
          <w:color w:val="202A3A"/>
          <w:sz w:val="20"/>
        </w:rPr>
        <w:t xml:space="preserve"> </w:t>
      </w:r>
      <w:r>
        <w:rPr>
          <w:rFonts w:ascii="Calibri" w:hAnsi="Calibri"/>
          <w:color w:val="202A3A"/>
          <w:sz w:val="20"/>
        </w:rPr>
        <w:t xml:space="preserve">Confirmed / Assessed / Suspected / Ruled out /</w:t>
      </w:r>
      <w:r>
        <w:rPr>
          <w:rFonts w:ascii="Calibri" w:hAnsi="Calibri"/>
          <w:color w:val="202A3A"/>
          <w:sz w:val="20"/>
        </w:rPr>
        <w:t xml:space="preserve"> </w:t>
      </w:r>
      <w:r>
        <w:rPr>
          <w:rFonts w:ascii="Calibri" w:hAnsi="Calibri"/>
          <w:color w:val="202A3A"/>
          <w:sz w:val="20"/>
        </w:rPr>
        <w:t xml:space="preserve">Unknown for facts; low / moderate / high confidence for judgments.</w:t>
      </w:r>
    </w:p>
    <w:p>
      <w:pPr>
        <w:widowControl/>
        <w:numPr>
          <w:ilvl w:val="0"/>
          <w:numId w:val="1001"/>
        </w:numPr>
        <w:spacing w:before="0" w:after="20" w:line="240" w:lineRule="auto"/>
      </w:pPr>
      <w:r>
        <w:rPr>
          <w:rFonts w:ascii="Calibri" w:hAnsi="Calibri"/>
          <w:b/>
          <w:bCs/>
          <w:color w:val="202A3A"/>
          <w:sz w:val="20"/>
        </w:rPr>
        <w:t xml:space="preserve">Numbers beat adjectives.</w:t>
      </w:r>
      <w:r>
        <w:rPr>
          <w:rFonts w:ascii="Calibri" w:hAnsi="Calibri"/>
          <w:color w:val="202A3A"/>
          <w:sz w:val="20"/>
        </w:rPr>
        <w:t xml:space="preserve"> </w:t>
      </w:r>
      <w:r>
        <w:rPr>
          <w:rFonts w:ascii="Calibri" w:hAnsi="Calibri"/>
          <w:color w:val="202A3A"/>
          <w:sz w:val="20"/>
        </w:rPr>
        <w:t xml:space="preserve">“14 of 220 servers (6%)” not “a</w:t>
      </w:r>
      <w:r>
        <w:rPr>
          <w:rFonts w:ascii="Calibri" w:hAnsi="Calibri"/>
          <w:color w:val="202A3A"/>
          <w:sz w:val="20"/>
        </w:rPr>
        <w:t xml:space="preserve"> </w:t>
      </w:r>
      <w:r>
        <w:rPr>
          <w:rFonts w:ascii="Calibri" w:hAnsi="Calibri"/>
          <w:color w:val="202A3A"/>
          <w:sz w:val="20"/>
        </w:rPr>
        <w:t xml:space="preserve">significant number.” Give ranges with confidence.</w:t>
      </w:r>
    </w:p>
    <w:p>
      <w:pPr>
        <w:widowControl/>
        <w:numPr>
          <w:ilvl w:val="0"/>
          <w:numId w:val="1001"/>
        </w:numPr>
        <w:spacing w:before="0" w:after="20" w:line="240" w:lineRule="auto"/>
      </w:pPr>
      <w:r>
        <w:rPr>
          <w:rFonts w:ascii="Calibri" w:hAnsi="Calibri"/>
          <w:b/>
          <w:bCs/>
          <w:color w:val="202A3A"/>
          <w:sz w:val="20"/>
        </w:rPr>
        <w:t xml:space="preserve">Bound every “no evidence” claim.</w:t>
      </w:r>
      <w:r>
        <w:rPr>
          <w:rFonts w:ascii="Calibri" w:hAnsi="Calibri"/>
          <w:color w:val="202A3A"/>
          <w:sz w:val="20"/>
        </w:rPr>
        <w:t xml:space="preserve"> </w:t>
      </w:r>
      <w:r>
        <w:rPr>
          <w:rFonts w:ascii="Calibri" w:hAnsi="Calibri"/>
          <w:color w:val="202A3A"/>
          <w:sz w:val="20"/>
        </w:rPr>
        <w:t xml:space="preserve">Name the telemetry, systems, and</w:t>
      </w:r>
      <w:r>
        <w:rPr>
          <w:rFonts w:ascii="Calibri" w:hAnsi="Calibri"/>
          <w:color w:val="202A3A"/>
          <w:sz w:val="20"/>
        </w:rPr>
        <w:t xml:space="preserve"> </w:t>
      </w:r>
      <w:r>
        <w:rPr>
          <w:rFonts w:ascii="Calibri" w:hAnsi="Calibri"/>
          <w:color w:val="202A3A"/>
          <w:sz w:val="20"/>
        </w:rPr>
        <w:t xml:space="preserve">time range checked (§3).</w:t>
      </w:r>
    </w:p>
    <w:p>
      <w:pPr>
        <w:widowControl/>
        <w:numPr>
          <w:ilvl w:val="0"/>
          <w:numId w:val="1001"/>
        </w:numPr>
        <w:spacing w:before="0" w:after="20" w:line="240" w:lineRule="auto"/>
      </w:pPr>
      <w:r>
        <w:rPr>
          <w:rFonts w:ascii="Calibri" w:hAnsi="Calibri"/>
          <w:b/>
          <w:bCs/>
          <w:color w:val="202A3A"/>
          <w:sz w:val="20"/>
        </w:rPr>
        <w:t xml:space="preserve">Containment is proven, not inferred.</w:t>
      </w:r>
      <w:r>
        <w:rPr>
          <w:rFonts w:ascii="Calibri" w:hAnsi="Calibri"/>
          <w:color w:val="202A3A"/>
          <w:sz w:val="20"/>
        </w:rPr>
        <w:t xml:space="preserve"> </w:t>
      </w:r>
      <w:r>
        <w:rPr>
          <w:rFonts w:ascii="Calibri" w:hAnsi="Calibri"/>
          <w:color w:val="202A3A"/>
          <w:sz w:val="20"/>
        </w:rPr>
        <w:t xml:space="preserve">A drop in alerts is not</w:t>
      </w:r>
      <w:r>
        <w:rPr>
          <w:rFonts w:ascii="Calibri" w:hAnsi="Calibri"/>
          <w:color w:val="202A3A"/>
          <w:sz w:val="20"/>
        </w:rPr>
        <w:t xml:space="preserve"> </w:t>
      </w:r>
      <w:r>
        <w:rPr>
          <w:rFonts w:ascii="Calibri" w:hAnsi="Calibri"/>
          <w:color w:val="202A3A"/>
          <w:sz w:val="20"/>
        </w:rPr>
        <w:t xml:space="preserve">containment; confirm attack path, persistence, and scope are</w:t>
      </w:r>
      <w:r>
        <w:rPr>
          <w:rFonts w:ascii="Calibri" w:hAnsi="Calibri"/>
          <w:color w:val="202A3A"/>
          <w:sz w:val="20"/>
        </w:rPr>
        <w:t xml:space="preserve"> </w:t>
      </w:r>
      <w:r>
        <w:rPr>
          <w:rFonts w:ascii="Calibri" w:hAnsi="Calibri"/>
          <w:color w:val="202A3A"/>
          <w:sz w:val="20"/>
        </w:rPr>
        <w:t xml:space="preserve">addressed.</w:t>
      </w:r>
    </w:p>
    <w:p>
      <w:pPr>
        <w:widowControl/>
        <w:numPr>
          <w:ilvl w:val="0"/>
          <w:numId w:val="1001"/>
        </w:numPr>
        <w:spacing w:before="0" w:after="20" w:line="240" w:lineRule="auto"/>
      </w:pPr>
      <w:r>
        <w:rPr>
          <w:rFonts w:ascii="Calibri" w:hAnsi="Calibri"/>
          <w:b/>
          <w:bCs/>
          <w:color w:val="202A3A"/>
          <w:sz w:val="20"/>
        </w:rPr>
        <w:t xml:space="preserve">Absolute time only.</w:t>
      </w:r>
      <w:r>
        <w:rPr>
          <w:rFonts w:ascii="Calibri" w:hAnsi="Calibri"/>
          <w:color w:val="202A3A"/>
          <w:sz w:val="20"/>
        </w:rPr>
        <w:t xml:space="preserve"> </w:t>
      </w:r>
      <w:r>
        <w:rPr>
          <w:rFonts w:ascii="Calibri" w:hAnsi="Calibri"/>
          <w:color w:val="202A3A"/>
          <w:sz w:val="20"/>
        </w:rPr>
        <w:t xml:space="preserve">UTC plus local, ISO 8601. Never “earlier</w:t>
      </w:r>
      <w:r>
        <w:rPr>
          <w:rFonts w:ascii="Calibri" w:hAnsi="Calibri"/>
          <w:color w:val="202A3A"/>
          <w:sz w:val="20"/>
        </w:rPr>
        <w:t xml:space="preserve"> </w:t>
      </w:r>
      <w:r>
        <w:rPr>
          <w:rFonts w:ascii="Calibri" w:hAnsi="Calibri"/>
          <w:color w:val="202A3A"/>
          <w:sz w:val="20"/>
        </w:rPr>
        <w:t xml:space="preserve">today.” Detection time starts most clocks.</w:t>
      </w:r>
    </w:p>
    <w:p>
      <w:pPr>
        <w:widowControl/>
        <w:numPr>
          <w:ilvl w:val="0"/>
          <w:numId w:val="1001"/>
        </w:numPr>
        <w:spacing w:before="0" w:after="20" w:line="240" w:lineRule="auto"/>
      </w:pPr>
      <w:r>
        <w:rPr>
          <w:rFonts w:ascii="Calibri" w:hAnsi="Calibri"/>
          <w:b/>
          <w:bCs/>
          <w:color w:val="202A3A"/>
          <w:sz w:val="20"/>
        </w:rPr>
        <w:t xml:space="preserve">Translate, then tag.</w:t>
      </w:r>
      <w:r>
        <w:rPr>
          <w:rFonts w:ascii="Calibri" w:hAnsi="Calibri"/>
          <w:color w:val="202A3A"/>
          <w:sz w:val="20"/>
        </w:rPr>
        <w:t xml:space="preserve"> </w:t>
      </w:r>
      <w:r>
        <w:rPr>
          <w:rFonts w:ascii="Calibri" w:hAnsi="Calibri"/>
          <w:color w:val="202A3A"/>
          <w:sz w:val="20"/>
        </w:rPr>
        <w:t xml:space="preserve">“Stolen VPN credentials were used (T1078)” —</w:t>
      </w:r>
      <w:r>
        <w:rPr>
          <w:rFonts w:ascii="Calibri" w:hAnsi="Calibri"/>
          <w:color w:val="202A3A"/>
          <w:sz w:val="20"/>
        </w:rPr>
        <w:t xml:space="preserve"> </w:t>
      </w:r>
      <w:r>
        <w:rPr>
          <w:rFonts w:ascii="Calibri" w:hAnsi="Calibri"/>
          <w:color w:val="202A3A"/>
          <w:sz w:val="20"/>
        </w:rPr>
        <w:t xml:space="preserve">executives get the story, the SOC gets the ID.</w:t>
      </w:r>
    </w:p>
    <w:p>
      <w:pPr>
        <w:widowControl/>
        <w:numPr>
          <w:ilvl w:val="0"/>
          <w:numId w:val="1001"/>
        </w:numPr>
        <w:spacing w:before="0" w:after="20" w:line="240" w:lineRule="auto"/>
      </w:pPr>
      <w:r>
        <w:rPr>
          <w:rFonts w:ascii="Calibri" w:hAnsi="Calibri"/>
          <w:b/>
          <w:bCs/>
          <w:color w:val="202A3A"/>
          <w:sz w:val="20"/>
        </w:rPr>
        <w:t xml:space="preserve">Banned words:</w:t>
      </w:r>
      <w:r>
        <w:rPr>
          <w:rFonts w:ascii="Calibri" w:hAnsi="Calibri"/>
          <w:color w:val="202A3A"/>
          <w:sz w:val="20"/>
        </w:rPr>
        <w:t xml:space="preserve"> </w:t>
      </w:r>
      <w:r>
        <w:rPr>
          <w:rFonts w:ascii="Calibri" w:hAnsi="Calibri"/>
          <w:color w:val="202A3A"/>
          <w:sz w:val="20"/>
        </w:rPr>
        <w:t xml:space="preserve">possibly, believed to be, sophisticated, widely</w:t>
      </w:r>
      <w:r>
        <w:rPr>
          <w:rFonts w:ascii="Calibri" w:hAnsi="Calibri"/>
          <w:color w:val="202A3A"/>
          <w:sz w:val="20"/>
        </w:rPr>
        <w:t xml:space="preserve"> </w:t>
      </w:r>
      <w:r>
        <w:rPr>
          <w:rFonts w:ascii="Calibri" w:hAnsi="Calibri"/>
          <w:color w:val="202A3A"/>
          <w:sz w:val="20"/>
        </w:rPr>
        <w:t xml:space="preserve">exploited, significant, advanced, breach. Replace with a labeled fact,</w:t>
      </w:r>
      <w:r>
        <w:rPr>
          <w:rFonts w:ascii="Calibri" w:hAnsi="Calibri"/>
          <w:color w:val="202A3A"/>
          <w:sz w:val="20"/>
        </w:rPr>
        <w:t xml:space="preserve"> </w:t>
      </w:r>
      <w:r>
        <w:rPr>
          <w:rFonts w:ascii="Calibri" w:hAnsi="Calibri"/>
          <w:color w:val="202A3A"/>
          <w:sz w:val="20"/>
        </w:rPr>
        <w:t xml:space="preserve">number, or confidence. “Breach” is a legal conclusion: only counsel,</w:t>
      </w:r>
      <w:r>
        <w:rPr>
          <w:rFonts w:ascii="Calibri" w:hAnsi="Calibri"/>
          <w:color w:val="202A3A"/>
          <w:sz w:val="20"/>
        </w:rPr>
        <w:t xml:space="preserve"> </w:t>
      </w:r>
      <w:r>
        <w:rPr>
          <w:rFonts w:ascii="Calibri" w:hAnsi="Calibri"/>
          <w:color w:val="202A3A"/>
          <w:sz w:val="20"/>
        </w:rPr>
        <w:t xml:space="preserve">after reviewing the facts against applicable statutes and contracts,</w:t>
      </w:r>
      <w:r>
        <w:rPr>
          <w:rFonts w:ascii="Calibri" w:hAnsi="Calibri"/>
          <w:color w:val="202A3A"/>
          <w:sz w:val="20"/>
        </w:rPr>
        <w:t xml:space="preserve"> </w:t>
      </w:r>
      <w:r>
        <w:rPr>
          <w:rFonts w:ascii="Calibri" w:hAnsi="Calibri"/>
          <w:color w:val="202A3A"/>
          <w:sz w:val="20"/>
        </w:rPr>
        <w:t xml:space="preserve">declares one. Until then it is an incident.</w:t>
      </w:r>
    </w:p>
    <w:p>
      <w:pPr>
        <w:widowControl/>
        <w:numPr>
          <w:ilvl w:val="0"/>
          <w:numId w:val="1001"/>
        </w:numPr>
        <w:spacing w:before="0" w:after="20" w:line="240" w:lineRule="auto"/>
      </w:pPr>
      <w:r>
        <w:rPr>
          <w:rFonts w:ascii="Calibri" w:hAnsi="Calibri"/>
          <w:b/>
          <w:bCs/>
          <w:color w:val="202A3A"/>
          <w:sz w:val="20"/>
        </w:rPr>
        <w:t xml:space="preserve">No attribution in writing</w:t>
      </w:r>
      <w:r>
        <w:rPr>
          <w:rFonts w:ascii="Calibri" w:hAnsi="Calibri"/>
          <w:color w:val="202A3A"/>
          <w:sz w:val="20"/>
        </w:rPr>
        <w:t xml:space="preserve"> </w:t>
      </w:r>
      <w:r>
        <w:rPr>
          <w:rFonts w:ascii="Calibri" w:hAnsi="Calibri"/>
          <w:color w:val="202A3A"/>
          <w:sz w:val="20"/>
        </w:rPr>
        <w:t xml:space="preserve">until evidence supports it, it is</w:t>
      </w:r>
      <w:r>
        <w:rPr>
          <w:rFonts w:ascii="Calibri" w:hAnsi="Calibri"/>
          <w:color w:val="202A3A"/>
          <w:sz w:val="20"/>
        </w:rPr>
        <w:t xml:space="preserve"> </w:t>
      </w:r>
      <w:r>
        <w:rPr>
          <w:rFonts w:ascii="Calibri" w:hAnsi="Calibri"/>
          <w:color w:val="202A3A"/>
          <w:sz w:val="20"/>
        </w:rPr>
        <w:t xml:space="preserve">qualified, and counsel approves.</w:t>
      </w:r>
    </w:p>
    <w:p>
      <w:pPr>
        <w:widowControl/>
        <w:numPr>
          <w:ilvl w:val="0"/>
          <w:numId w:val="1001"/>
        </w:numPr>
        <w:spacing w:before="0" w:after="20" w:line="240" w:lineRule="auto"/>
      </w:pPr>
      <w:r>
        <w:rPr>
          <w:rFonts w:ascii="Calibri" w:hAnsi="Calibri"/>
          <w:b/>
          <w:bCs/>
          <w:color w:val="202A3A"/>
          <w:sz w:val="20"/>
        </w:rPr>
        <w:t xml:space="preserve">Write it last; draft freely, then compress.</w:t>
      </w:r>
      <w:r>
        <w:rPr>
          <w:rFonts w:ascii="Calibri" w:hAnsi="Calibri"/>
          <w:color w:val="202A3A"/>
          <w:sz w:val="20"/>
        </w:rPr>
        <w:t xml:space="preserve"> </w:t>
      </w:r>
      <w:r>
        <w:rPr>
          <w:rFonts w:ascii="Calibri" w:hAnsi="Calibri"/>
          <w:color w:val="202A3A"/>
          <w:sz w:val="20"/>
        </w:rPr>
        <w:t xml:space="preserve">Cut any sentence that</w:t>
      </w:r>
      <w:r>
        <w:rPr>
          <w:rFonts w:ascii="Calibri" w:hAnsi="Calibri"/>
          <w:color w:val="202A3A"/>
          <w:sz w:val="20"/>
        </w:rPr>
        <w:t xml:space="preserve"> </w:t>
      </w:r>
      <w:r>
        <w:rPr>
          <w:rFonts w:ascii="Calibri" w:hAnsi="Calibri"/>
          <w:color w:val="202A3A"/>
          <w:sz w:val="20"/>
        </w:rPr>
        <w:t xml:space="preserve">does not change understanding, risk, action, timing, or</w:t>
      </w:r>
      <w:r>
        <w:rPr>
          <w:rFonts w:ascii="Calibri" w:hAnsi="Calibri"/>
          <w:color w:val="202A3A"/>
          <w:sz w:val="20"/>
        </w:rPr>
        <w:t xml:space="preserve"> </w:t>
      </w:r>
      <w:r>
        <w:rPr>
          <w:rFonts w:ascii="Calibri" w:hAnsi="Calibri"/>
          <w:color w:val="202A3A"/>
          <w:sz w:val="20"/>
        </w:rPr>
        <w:t xml:space="preserve">accountability. Raw indicators, logs, and full timelines go to the</w:t>
      </w:r>
      <w:r>
        <w:rPr>
          <w:rFonts w:ascii="Calibri" w:hAnsi="Calibri"/>
          <w:color w:val="202A3A"/>
          <w:sz w:val="20"/>
        </w:rPr>
        <w:t xml:space="preserve"> </w:t>
      </w:r>
      <w:r>
        <w:rPr>
          <w:rFonts w:ascii="Calibri" w:hAnsi="Calibri"/>
          <w:color w:val="202A3A"/>
          <w:sz w:val="20"/>
        </w:rPr>
        <w:t xml:space="preserve">technical record; hyperlinks follow Supplement C.</w:t>
      </w:r>
    </w:p>
    <w:p>
      <w:pPr>
        <w:widowControl/>
        <w:numPr>
          <w:ilvl w:val="0"/>
          <w:numId w:val="1001"/>
        </w:numPr>
        <w:spacing w:before="0" w:after="20" w:line="240" w:lineRule="auto"/>
      </w:pPr>
      <w:r>
        <w:rPr>
          <w:rFonts w:ascii="Calibri" w:hAnsi="Calibri"/>
          <w:b/>
          <w:bCs/>
          <w:color w:val="202A3A"/>
          <w:sz w:val="20"/>
        </w:rPr>
        <w:t xml:space="preserve">Assume discovery.</w:t>
      </w:r>
      <w:r>
        <w:rPr>
          <w:rFonts w:ascii="Calibri" w:hAnsi="Calibri"/>
          <w:color w:val="202A3A"/>
          <w:sz w:val="20"/>
        </w:rPr>
        <w:t xml:space="preserve"> </w:t>
      </w:r>
      <w:r>
        <w:rPr>
          <w:rFonts w:ascii="Calibri" w:hAnsi="Calibri"/>
          <w:color w:val="202A3A"/>
          <w:sz w:val="20"/>
        </w:rPr>
        <w:t xml:space="preserve">Regulators, insurers, auditors, or opposing</w:t>
      </w:r>
      <w:r>
        <w:rPr>
          <w:rFonts w:ascii="Calibri" w:hAnsi="Calibri"/>
          <w:color w:val="202A3A"/>
          <w:sz w:val="20"/>
        </w:rPr>
        <w:t xml:space="preserve"> </w:t>
      </w:r>
      <w:r>
        <w:rPr>
          <w:rFonts w:ascii="Calibri" w:hAnsi="Calibri"/>
          <w:color w:val="202A3A"/>
          <w:sz w:val="20"/>
        </w:rPr>
        <w:t xml:space="preserve">counsel may read this later. Timestamp, version, retain, control</w:t>
      </w:r>
      <w:r>
        <w:rPr>
          <w:rFonts w:ascii="Calibri" w:hAnsi="Calibri"/>
          <w:color w:val="202A3A"/>
          <w:sz w:val="20"/>
        </w:rPr>
        <w:t xml:space="preserve"> </w:t>
      </w:r>
      <w:r>
        <w:rPr>
          <w:rFonts w:ascii="Calibri" w:hAnsi="Calibri"/>
          <w:color w:val="202A3A"/>
          <w:sz w:val="20"/>
        </w:rPr>
        <w:t xml:space="preserve">distribution; correct by new version, never overwrite.</w:t>
      </w:r>
    </w:p>
    <w:p>
      <w:pPr>
        <w:widowControl/>
        <w:numPr>
          <w:ilvl w:val="0"/>
          <w:numId w:val="1001"/>
        </w:numPr>
        <w:spacing w:before="0" w:after="20" w:line="240" w:lineRule="auto"/>
      </w:pPr>
      <w:r>
        <w:rPr>
          <w:rFonts w:ascii="Calibri" w:hAnsi="Calibri"/>
          <w:b/>
          <w:bCs/>
          <w:color w:val="202A3A"/>
          <w:sz w:val="20"/>
        </w:rPr>
        <w:t xml:space="preserve">The subject line does work.</w:t>
      </w:r>
      <w:r>
        <w:rPr>
          <w:rFonts w:ascii="Calibri" w:hAnsi="Calibri"/>
          <w:color w:val="202A3A"/>
          <w:sz w:val="20"/>
        </w:rPr>
        <w:t xml:space="preserve"> </w:t>
      </w:r>
      <w:r>
        <w:rPr>
          <w:rFonts w:ascii="Calibri" w:hAnsi="Calibri"/>
          <w:color w:val="202A3A"/>
          <w:sz w:val="20"/>
        </w:rPr>
        <w:t xml:space="preserve">“[TLP:AMBER] Incident 2026-017 —</w:t>
      </w:r>
      <w:r>
        <w:rPr>
          <w:rFonts w:ascii="Calibri" w:hAnsi="Calibri"/>
          <w:color w:val="202A3A"/>
          <w:sz w:val="20"/>
        </w:rPr>
        <w:t xml:space="preserve"> </w:t>
      </w:r>
      <w:r>
        <w:rPr>
          <w:rFonts w:ascii="Calibri" w:hAnsi="Calibri"/>
          <w:color w:val="202A3A"/>
          <w:sz w:val="20"/>
        </w:rPr>
        <w:t xml:space="preserve">Contained — 2-min read — 1 decision by 1700.”</w:t>
      </w:r>
    </w:p>
    <w:bookmarkEnd w:id="11"/>
    <w:bookmarkEnd w:id="12"/>
    <w:bookmarkStart w:id="14" w:name="X6a4480fb5a06b79274fa2820c263d97d98a3eec"/>
    <w:p>
      <w:pPr>
        <w:pStyle w:val="Heading2"/>
        <w:pageBreakBefore/>
      </w:pPr>
      <w:r>
        <w:t xml:space="preserve">1. Fast Workflow</w:t>
      </w:r>
    </w:p>
    <w:tbl>
      <w:tblPr>
        <w:tblStyle w:val="Table"/>
        <w:tblW w:type="dxa" w:w="9360"/>
        <w:jc w:val="left"/>
        <w:tblLayout w:type="fixed"/>
        <w:tblLook w:firstRow="1" w:lastRow="0" w:firstColumn="0" w:lastColumn="0" w:noHBand="0" w:noVBand="0" w:val="0020"/>
        <w:tblInd w:w="120" w:type="dxa"/>
      </w:tblPr>
      <w:tblGrid>
        <w:gridCol w:w="2700"/>
        <w:gridCol w:w="6660"/>
      </w:tblGrid>
      <w:tr>
        <w:trPr>
          <w:tblHeader w:val="on"/>
          <w:tblHeader w:val="true"/>
          <w:cantSplit/>
        </w:trPr>
        <w:tc>
          <w:tcPr>
            <w:tcW w:w="2700" w:type="dxa"/>
            <w:vAlign w:val="center"/>
            <w:shd w:fill="1A2B49"/>
          </w:tcPr>
          <w:p>
            <w:pPr>
              <w:pStyle w:val="Compact"/>
              <w:spacing w:after="40"/>
            </w:pPr>
            <w:r>
              <w:rPr>
                <w:rFonts w:ascii="Calibri" w:hAnsi="Calibri"/>
                <w:b/>
                <w:bCs/>
                <w:color w:val="FFFFFF"/>
                <w:sz w:val="18"/>
              </w:rPr>
              <w:t xml:space="preserve">Step</w:t>
            </w:r>
          </w:p>
        </w:tc>
        <w:tc>
          <w:tcPr>
            <w:tcW w:w="6660" w:type="dxa"/>
            <w:vAlign w:val="center"/>
            <w:shd w:fill="1A2B49"/>
          </w:tcPr>
          <w:p>
            <w:pPr>
              <w:pStyle w:val="Compact"/>
              <w:spacing w:after="40"/>
            </w:pPr>
            <w:r>
              <w:rPr>
                <w:rFonts w:ascii="Calibri" w:hAnsi="Calibri"/>
                <w:b/>
                <w:bCs/>
                <w:color w:val="FFFFFF"/>
                <w:sz w:val="18"/>
              </w:rPr>
              <w:t xml:space="preserve">Action</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1 Verify</w:t>
            </w:r>
          </w:p>
        </w:tc>
        <w:tc>
          <w:tcPr>
            <w:tcW w:w="6660" w:type="dxa"/>
            <w:vAlign w:val="center"/>
          </w:tcPr>
          <w:p>
            <w:pPr>
              <w:pStyle w:val="Compact"/>
              <w:spacing w:before="20" w:after="40" w:line="240" w:lineRule="auto"/>
            </w:pPr>
            <w:r>
              <w:rPr>
                <w:rFonts w:ascii="Calibri" w:hAnsi="Calibri"/>
                <w:color w:val="202A3A"/>
                <w:sz w:val="18"/>
              </w:rPr>
              <w:t xml:space="preserve">Confirm material facts, scope, evidence coverage, and response state before writing.</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2 Translate</w:t>
            </w:r>
          </w:p>
        </w:tc>
        <w:tc>
          <w:tcPr>
            <w:tcW w:w="6660" w:type="dxa"/>
            <w:vAlign w:val="center"/>
            <w:shd w:fill="F3F5F7"/>
          </w:tcPr>
          <w:p>
            <w:pPr>
              <w:pStyle w:val="Compact"/>
              <w:spacing w:before="20" w:after="40" w:line="240" w:lineRule="auto"/>
            </w:pPr>
            <w:r>
              <w:rPr>
                <w:rFonts w:ascii="Calibri" w:hAnsi="Calibri"/>
                <w:color w:val="202A3A"/>
                <w:sz w:val="18"/>
              </w:rPr>
              <w:t xml:space="preserve">Convert technical findings into business impact, residual risk, and operational consequence.</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3 Draft BLUF</w:t>
            </w:r>
          </w:p>
        </w:tc>
        <w:tc>
          <w:tcPr>
            <w:tcW w:w="6660" w:type="dxa"/>
            <w:vAlign w:val="center"/>
          </w:tcPr>
          <w:p>
            <w:pPr>
              <w:pStyle w:val="Compact"/>
              <w:spacing w:before="20" w:after="40" w:line="240" w:lineRule="auto"/>
            </w:pPr>
            <w:r>
              <w:rPr>
                <w:rFonts w:ascii="Calibri" w:hAnsi="Calibri"/>
                <w:color w:val="202A3A"/>
                <w:sz w:val="18"/>
              </w:rPr>
              <w:t xml:space="preserve">Write the first two lines first. They must stand alone.</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4 Assign</w:t>
            </w:r>
          </w:p>
        </w:tc>
        <w:tc>
          <w:tcPr>
            <w:tcW w:w="6660" w:type="dxa"/>
            <w:vAlign w:val="center"/>
            <w:shd w:fill="F3F5F7"/>
          </w:tcPr>
          <w:p>
            <w:pPr>
              <w:pStyle w:val="Compact"/>
              <w:spacing w:before="20" w:after="40" w:line="240" w:lineRule="auto"/>
            </w:pPr>
            <w:r>
              <w:rPr>
                <w:rFonts w:ascii="Calibri" w:hAnsi="Calibri"/>
                <w:color w:val="202A3A"/>
                <w:sz w:val="18"/>
              </w:rPr>
              <w:t xml:space="preserve">Every material action and decision gets an owner and a due time.</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5 Challenge</w:t>
            </w:r>
          </w:p>
        </w:tc>
        <w:tc>
          <w:tcPr>
            <w:tcW w:w="6660" w:type="dxa"/>
            <w:vAlign w:val="center"/>
          </w:tcPr>
          <w:p>
            <w:pPr>
              <w:pStyle w:val="Compact"/>
              <w:spacing w:before="20" w:after="40" w:line="240" w:lineRule="auto"/>
            </w:pPr>
            <w:r>
              <w:rPr>
                <w:rFonts w:ascii="Calibri" w:hAnsi="Calibri"/>
                <w:color w:val="202A3A"/>
                <w:sz w:val="18"/>
              </w:rPr>
              <w:t xml:space="preserve">Test every “no evidence,” “contained,” “recovered,” and attribution claim against the evidence boundary.</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6 Release</w:t>
            </w:r>
          </w:p>
        </w:tc>
        <w:tc>
          <w:tcPr>
            <w:tcW w:w="6660" w:type="dxa"/>
            <w:vAlign w:val="center"/>
            <w:shd w:fill="F3F5F7"/>
          </w:tcPr>
          <w:p>
            <w:pPr>
              <w:pStyle w:val="Compact"/>
              <w:spacing w:before="20" w:after="40" w:line="240" w:lineRule="auto"/>
            </w:pPr>
            <w:r>
              <w:rPr>
                <w:rFonts w:ascii="Calibri" w:hAnsi="Calibri"/>
                <w:color w:val="202A3A"/>
                <w:sz w:val="18"/>
              </w:rPr>
              <w:t xml:space="preserve">Apply handling marking, check every link (Supplement C), preserve the version, verify distribution, state next update time or trigger.</w:t>
            </w:r>
          </w:p>
        </w:tc>
      </w:tr>
    </w:tbl>
    <w:bookmarkStart w:id="13" w:name="context-line-first-line-of-every-summary"/>
    <w:p>
      <w:pPr>
        <w:pStyle w:val="Heading3"/>
      </w:pPr>
      <w:r>
        <w:t xml:space="preserve">Context line (first line of every summary)</w:t>
      </w:r>
    </w:p>
    <w:p>
      <w:pPr>
        <w:pStyle w:val="FirstParagraph"/>
      </w:pPr>
      <w:r>
        <w:rPr>
          <w:b/>
          <w:bCs/>
        </w:rPr>
        <w:t xml:space="preserve">Incident ID &amp; name | Severity | Executive owner | Incident lead |</w:t>
      </w:r>
      <w:r>
        <w:rPr>
          <w:b/>
          <w:bCs/>
        </w:rPr>
        <w:t xml:space="preserve"> </w:t>
      </w:r>
      <w:r>
        <w:rPr>
          <w:b/>
          <w:bCs/>
        </w:rPr>
        <w:t xml:space="preserve">Current as of &lt;date, time, zone&gt; | v# | TLP | Privileged: Y/N (only</w:t>
      </w:r>
      <w:r>
        <w:rPr>
          <w:b/>
          <w:bCs/>
        </w:rPr>
        <w:t xml:space="preserve"> </w:t>
      </w:r>
      <w:r>
        <w:rPr>
          <w:b/>
          <w:bCs/>
        </w:rPr>
        <w:t xml:space="preserve">if counsel directs) | Next update</w:t>
      </w:r>
    </w:p>
    <w:p>
      <w:pPr>
        <w:pStyle w:val="BodyText"/>
      </w:pPr>
      <w:r>
        <w:rPr>
          <w:b/>
          <w:bCs/>
        </w:rPr>
        <w:t xml:space="preserve">Example:</w:t>
      </w:r>
      <w:r>
        <w:t xml:space="preserve"> </w:t>
      </w:r>
      <w:r>
        <w:rPr>
          <w:i/>
          <w:iCs/>
        </w:rPr>
        <w:t xml:space="preserve">Incident 2026-017 Contractor-VPN | Severity HIGH | Exec</w:t>
      </w:r>
      <w:r>
        <w:rPr>
          <w:i/>
          <w:iCs/>
        </w:rPr>
        <w:t xml:space="preserve"> </w:t>
      </w:r>
      <w:r>
        <w:rPr>
          <w:i/>
          <w:iCs/>
        </w:rPr>
        <w:t xml:space="preserve">owner: CIO | Lead: J. Analyst x4421 | Current as of 2026-09-16 14:30</w:t>
      </w:r>
      <w:r>
        <w:rPr>
          <w:i/>
          <w:iCs/>
        </w:rPr>
        <w:t xml:space="preserve"> </w:t>
      </w:r>
      <w:r>
        <w:rPr>
          <w:i/>
          <w:iCs/>
        </w:rPr>
        <w:t xml:space="preserve">UTC (10:30 ET) | v3 | TLP:AMBER | Privileged: Y (per counsel) | Next</w:t>
      </w:r>
      <w:r>
        <w:rPr>
          <w:i/>
          <w:iCs/>
        </w:rPr>
        <w:t xml:space="preserve"> </w:t>
      </w:r>
      <w:r>
        <w:rPr>
          <w:i/>
          <w:iCs/>
        </w:rPr>
        <w:t xml:space="preserve">update 16 Sep 22:00 UTC</w:t>
      </w:r>
    </w:p>
    <w:bookmarkEnd w:id="13"/>
    <w:bookmarkEnd w:id="14"/>
    <w:bookmarkStart w:id="15" w:name="X5d50a2f29da13ac478bb2e63e16f00978351dac"/>
    <w:p>
      <w:pPr>
        <w:pStyle w:val="Heading2"/>
      </w:pPr>
      <w:r>
        <w:t xml:space="preserve">2. Executive Summary Order and Word Budget</w:t>
      </w:r>
    </w:p>
    <w:tbl>
      <w:tblPr>
        <w:tblStyle w:val="Table"/>
        <w:tblW w:type="dxa" w:w="9360"/>
        <w:tblLayout w:type="fixed"/>
        <w:tblLook w:firstRow="1" w:lastRow="0" w:firstColumn="0" w:lastColumn="0" w:noHBand="0" w:noVBand="0" w:val="0020"/>
        <w:jc w:val="left"/>
        <w:tblInd w:w="120" w:type="dxa"/>
      </w:tblPr>
      <w:tblGrid>
        <w:gridCol w:w="2100"/>
        <w:gridCol w:w="1200"/>
        <w:gridCol w:w="6060"/>
      </w:tblGrid>
      <w:tr>
        <w:trPr>
          <w:tblHeader w:val="on"/>
          <w:tblHeader w:val="true"/>
          <w:cantSplit/>
        </w:trPr>
        <w:tc>
          <w:tcPr>
            <w:tcW w:w="2100" w:type="dxa"/>
            <w:vAlign w:val="center"/>
            <w:shd w:fill="1A2B49"/>
          </w:tcPr>
          <w:p>
            <w:pPr>
              <w:pStyle w:val="Compact"/>
              <w:keepNext/>
              <w:spacing w:after="40"/>
            </w:pPr>
            <w:r>
              <w:rPr>
                <w:rFonts w:ascii="Calibri" w:hAnsi="Calibri"/>
                <w:b/>
                <w:color w:val="FFFFFF"/>
                <w:sz w:val="18"/>
              </w:rPr>
              <w:t xml:space="preserve">Section</w:t>
            </w:r>
          </w:p>
        </w:tc>
        <w:tc>
          <w:tcPr>
            <w:tcW w:w="1200" w:type="dxa"/>
            <w:vAlign w:val="center"/>
            <w:shd w:fill="1A2B49"/>
          </w:tcPr>
          <w:p>
            <w:pPr>
              <w:pStyle w:val="Compact"/>
              <w:keepNext/>
              <w:spacing w:after="40"/>
            </w:pPr>
            <w:r>
              <w:rPr>
                <w:rFonts w:ascii="Calibri" w:hAnsi="Calibri"/>
                <w:b/>
                <w:color w:val="FFFFFF"/>
                <w:sz w:val="18"/>
              </w:rPr>
              <w:t xml:space="preserve">Budget</w:t>
            </w:r>
          </w:p>
        </w:tc>
        <w:tc>
          <w:tcPr>
            <w:tcW w:w="6060" w:type="dxa"/>
            <w:vAlign w:val="center"/>
            <w:shd w:fill="1A2B49"/>
          </w:tcPr>
          <w:p>
            <w:pPr>
              <w:pStyle w:val="Compact"/>
              <w:keepNext/>
              <w:spacing w:after="40"/>
            </w:pPr>
            <w:r>
              <w:rPr>
                <w:rFonts w:ascii="Calibri" w:hAnsi="Calibri"/>
                <w:b/>
                <w:color w:val="FFFFFF"/>
                <w:sz w:val="18"/>
              </w:rPr>
              <w:t xml:space="preserve">What Leadership Needs</w:t>
            </w:r>
          </w:p>
        </w:tc>
      </w:tr>
      <w:tr>
        <w:trPr>
          <w:cantSplit/>
        </w:trPr>
        <w:tc>
          <w:tcPr>
            <w:tcW w:w="2100" w:type="dxa"/>
            <w:vAlign w:val="center"/>
          </w:tcPr>
          <w:p>
            <w:pPr>
              <w:pStyle w:val="Compact"/>
              <w:keepNext/>
              <w:spacing w:before="20" w:after="40" w:line="240" w:lineRule="auto"/>
            </w:pPr>
            <w:r>
              <w:rPr>
                <w:rFonts w:ascii="Calibri" w:hAnsi="Calibri"/>
                <w:color w:val="202A3A"/>
                <w:sz w:val="18"/>
              </w:rPr>
              <w:t xml:space="preserve">1 Bottom Line Up Front</w:t>
            </w:r>
          </w:p>
        </w:tc>
        <w:tc>
          <w:tcPr>
            <w:tcW w:w="1200" w:type="dxa"/>
            <w:vAlign w:val="center"/>
          </w:tcPr>
          <w:p>
            <w:pPr>
              <w:pStyle w:val="Compact"/>
              <w:keepNext/>
              <w:spacing w:before="20" w:after="40" w:line="240" w:lineRule="auto"/>
            </w:pPr>
            <w:r>
              <w:rPr>
                <w:rFonts w:ascii="Calibri" w:hAnsi="Calibri"/>
                <w:color w:val="202A3A"/>
                <w:sz w:val="18"/>
              </w:rPr>
              <w:t xml:space="preserve">≤ 40 words</w:t>
            </w:r>
          </w:p>
        </w:tc>
        <w:tc>
          <w:tcPr>
            <w:tcW w:w="6060" w:type="dxa"/>
            <w:vAlign w:val="center"/>
          </w:tcPr>
          <w:p>
            <w:pPr>
              <w:pStyle w:val="Compact"/>
              <w:keepNext/>
              <w:spacing w:before="20" w:after="40" w:line="240" w:lineRule="auto"/>
            </w:pPr>
            <w:r>
              <w:rPr>
                <w:rFonts w:ascii="Calibri" w:hAnsi="Calibri"/>
                <w:color w:val="202A3A"/>
                <w:sz w:val="18"/>
              </w:rPr>
              <w:t xml:space="preserve">What happened, to what, is it over; Business consequence; decision required Y/N; Incident type: phishing, stolen credentials, web exploit, ransomware, insider, third party, unknown;</w:t>
            </w:r>
          </w:p>
        </w:tc>
      </w:tr>
      <w:tr>
        <w:trPr>
          <w:cantSplit/>
        </w:trPr>
        <w:tc>
          <w:tcPr>
            <w:tcW w:w="2100" w:type="dxa"/>
            <w:vAlign w:val="center"/>
            <w:shd w:fill="F3F5F7"/>
          </w:tcPr>
          <w:p>
            <w:pPr>
              <w:pStyle w:val="Compact"/>
              <w:keepNext/>
              <w:spacing w:before="20" w:after="40" w:line="240" w:lineRule="auto"/>
            </w:pPr>
            <w:r>
              <w:rPr>
                <w:rFonts w:ascii="Calibri" w:hAnsi="Calibri"/>
                <w:color w:val="202A3A"/>
                <w:sz w:val="18"/>
              </w:rPr>
              <w:t xml:space="preserve">2 Executive Risk Statement</w:t>
            </w:r>
          </w:p>
        </w:tc>
        <w:tc>
          <w:tcPr>
            <w:tcW w:w="1200" w:type="dxa"/>
            <w:vAlign w:val="center"/>
            <w:shd w:fill="F3F5F7"/>
          </w:tcPr>
          <w:p>
            <w:pPr>
              <w:pStyle w:val="Compact"/>
              <w:keepNext/>
              <w:spacing w:before="20" w:after="40" w:line="240" w:lineRule="auto"/>
            </w:pPr>
            <w:r>
              <w:rPr>
                <w:rFonts w:ascii="Calibri" w:hAnsi="Calibri"/>
                <w:color w:val="202A3A"/>
                <w:sz w:val="18"/>
              </w:rPr>
              <w:t xml:space="preserve">1 sentence</w:t>
            </w:r>
          </w:p>
        </w:tc>
        <w:tc>
          <w:tcPr>
            <w:tcW w:w="6060" w:type="dxa"/>
            <w:vAlign w:val="center"/>
            <w:shd w:fill="F3F5F7"/>
          </w:tcPr>
          <w:p>
            <w:pPr>
              <w:pStyle w:val="Compact"/>
              <w:keepNext/>
              <w:spacing w:before="20" w:after="40" w:line="240" w:lineRule="auto"/>
            </w:pPr>
            <w:r>
              <w:rPr>
                <w:rFonts w:ascii="Calibri" w:hAnsi="Calibri"/>
                <w:color w:val="202A3A"/>
                <w:sz w:val="18"/>
              </w:rPr>
              <w:t xml:space="preserve">[MOST IMPORTANT] Why this matters now; Lead with Severity on the defined scale (§4);</w:t>
            </w:r>
          </w:p>
        </w:tc>
      </w:tr>
      <w:tr>
        <w:trPr>
          <w:cantSplit/>
        </w:trPr>
        <w:tc>
          <w:tcPr>
            <w:tcW w:w="2100" w:type="dxa"/>
            <w:vAlign w:val="center"/>
          </w:tcPr>
          <w:p>
            <w:pPr>
              <w:pStyle w:val="Compact"/>
              <w:keepNext/>
              <w:spacing w:before="20" w:after="40" w:line="240" w:lineRule="auto"/>
            </w:pPr>
            <w:r>
              <w:rPr>
                <w:rFonts w:ascii="Calibri" w:hAnsi="Calibri"/>
                <w:color w:val="202A3A"/>
                <w:sz w:val="18"/>
              </w:rPr>
              <w:t xml:space="preserve">3 Current Status</w:t>
            </w:r>
          </w:p>
        </w:tc>
        <w:tc>
          <w:tcPr>
            <w:tcW w:w="1200" w:type="dxa"/>
            <w:vAlign w:val="center"/>
          </w:tcPr>
          <w:p>
            <w:pPr>
              <w:pStyle w:val="Compact"/>
              <w:keepNext/>
              <w:spacing w:before="20" w:after="40" w:line="240" w:lineRule="auto"/>
            </w:pPr>
            <w:r>
              <w:rPr>
                <w:rFonts w:ascii="Calibri" w:hAnsi="Calibri"/>
                <w:color w:val="202A3A"/>
                <w:sz w:val="18"/>
              </w:rPr>
              <w:t xml:space="preserve">1–2 lines</w:t>
            </w:r>
          </w:p>
        </w:tc>
        <w:tc>
          <w:tcPr>
            <w:tcW w:w="6060" w:type="dxa"/>
            <w:vAlign w:val="center"/>
          </w:tcPr>
          <w:p>
            <w:pPr>
              <w:pStyle w:val="Compact"/>
              <w:keepNext/>
              <w:spacing w:before="20" w:after="40" w:line="240" w:lineRule="auto"/>
            </w:pPr>
            <w:r>
              <w:rPr>
                <w:rFonts w:ascii="Calibri" w:hAnsi="Calibri"/>
                <w:color w:val="202A3A"/>
                <w:sz w:val="18"/>
              </w:rPr>
              <w:t xml:space="preserve">Investigation, containment, eradication, recovery, residual risk — each stated (§3); What changed since the prior version;</w:t>
            </w:r>
          </w:p>
        </w:tc>
      </w:tr>
      <w:tr>
        <w:trPr>
          <w:cantSplit/>
        </w:trPr>
        <w:tc>
          <w:tcPr>
            <w:tcW w:w="2100" w:type="dxa"/>
            <w:vAlign w:val="center"/>
            <w:shd w:fill="F3F5F7"/>
          </w:tcPr>
          <w:p>
            <w:pPr>
              <w:pStyle w:val="Compact"/>
              <w:keepNext/>
              <w:spacing w:before="20" w:after="40" w:line="240" w:lineRule="auto"/>
            </w:pPr>
            <w:r>
              <w:rPr>
                <w:rFonts w:ascii="Calibri" w:hAnsi="Calibri"/>
                <w:color w:val="202A3A"/>
                <w:sz w:val="18"/>
              </w:rPr>
              <w:t xml:space="preserve">4 Detection and Timeline</w:t>
            </w:r>
          </w:p>
        </w:tc>
        <w:tc>
          <w:tcPr>
            <w:tcW w:w="1200" w:type="dxa"/>
            <w:vAlign w:val="center"/>
            <w:shd w:fill="F3F5F7"/>
          </w:tcPr>
          <w:p>
            <w:pPr>
              <w:pStyle w:val="Compact"/>
              <w:keepNext/>
              <w:spacing w:before="20" w:after="40" w:line="240" w:lineRule="auto"/>
            </w:pPr>
            <w:r>
              <w:rPr>
                <w:rFonts w:ascii="Calibri" w:hAnsi="Calibri"/>
                <w:color w:val="202A3A"/>
                <w:sz w:val="18"/>
              </w:rPr>
              <w:t xml:space="preserve">≤ 30 words</w:t>
            </w:r>
          </w:p>
        </w:tc>
        <w:tc>
          <w:tcPr>
            <w:tcW w:w="6060" w:type="dxa"/>
            <w:vAlign w:val="center"/>
            <w:shd w:fill="F3F5F7"/>
          </w:tcPr>
          <w:p>
            <w:pPr>
              <w:pStyle w:val="Compact"/>
              <w:keepNext/>
              <w:spacing w:before="20" w:after="40" w:line="240" w:lineRule="auto"/>
            </w:pPr>
            <w:r>
              <w:rPr>
                <w:rFonts w:ascii="Calibri" w:hAnsi="Calibri"/>
                <w:color w:val="202A3A"/>
                <w:sz w:val="18"/>
              </w:rPr>
              <w:t xml:space="preserve">First activity (if known); detected when, how, by whom; declared when; Dwell time; Absolute timestamps with zone;</w:t>
            </w:r>
          </w:p>
        </w:tc>
      </w:tr>
      <w:tr>
        <w:trPr>
          <w:cantSplit/>
        </w:trPr>
        <w:tc>
          <w:tcPr>
            <w:tcW w:w="2100" w:type="dxa"/>
            <w:vAlign w:val="center"/>
          </w:tcPr>
          <w:p>
            <w:pPr>
              <w:pStyle w:val="Compact"/>
              <w:keepNext/>
              <w:spacing w:before="20" w:after="40" w:line="240" w:lineRule="auto"/>
            </w:pPr>
            <w:r>
              <w:rPr>
                <w:rFonts w:ascii="Calibri" w:hAnsi="Calibri"/>
                <w:color w:val="202A3A"/>
                <w:sz w:val="18"/>
              </w:rPr>
              <w:t xml:space="preserve">5 Scope and Impact</w:t>
            </w:r>
          </w:p>
        </w:tc>
        <w:tc>
          <w:tcPr>
            <w:tcW w:w="1200" w:type="dxa"/>
            <w:vAlign w:val="center"/>
          </w:tcPr>
          <w:p>
            <w:pPr>
              <w:pStyle w:val="Compact"/>
              <w:keepNext/>
              <w:spacing w:before="20" w:after="40" w:line="240" w:lineRule="auto"/>
            </w:pPr>
            <w:r>
              <w:rPr>
                <w:rFonts w:ascii="Calibri" w:hAnsi="Calibri"/>
                <w:color w:val="202A3A"/>
                <w:sz w:val="18"/>
              </w:rPr>
              <w:t xml:space="preserve">≤ 50 words</w:t>
            </w:r>
          </w:p>
        </w:tc>
        <w:tc>
          <w:tcPr>
            <w:tcW w:w="6060" w:type="dxa"/>
            <w:vAlign w:val="center"/>
          </w:tcPr>
          <w:p>
            <w:pPr>
              <w:pStyle w:val="Compact"/>
              <w:keepNext/>
              <w:spacing w:before="20" w:after="40" w:line="240" w:lineRule="auto"/>
            </w:pPr>
            <w:r>
              <w:rPr>
                <w:rFonts w:ascii="Calibri" w:hAnsi="Calibri"/>
                <w:color w:val="202A3A"/>
                <w:sz w:val="18"/>
              </w:rPr>
              <w:t xml:space="preserve">Confirmed vs. potentially affected; counts with denominators (42 of 318 hosts); Data with evidence label and what was checked; Operational, financial, legal, privacy, customer, safety, reputational impact; Ratings: Functional | Information | Recoverability;</w:t>
            </w:r>
          </w:p>
        </w:tc>
      </w:tr>
      <w:tr>
        <w:trPr>
          <w:cantSplit/>
        </w:trPr>
        <w:tc>
          <w:tcPr>
            <w:tcW w:w="2100" w:type="dxa"/>
            <w:vAlign w:val="center"/>
            <w:shd w:fill="F3F5F7"/>
          </w:tcPr>
          <w:p>
            <w:pPr>
              <w:pStyle w:val="Compact"/>
              <w:keepNext/>
              <w:spacing w:before="20" w:after="40" w:line="240" w:lineRule="auto"/>
            </w:pPr>
            <w:r>
              <w:rPr>
                <w:rFonts w:ascii="Calibri" w:hAnsi="Calibri"/>
                <w:color w:val="202A3A"/>
                <w:sz w:val="18"/>
              </w:rPr>
              <w:t xml:space="preserve">6 Threat Activity</w:t>
            </w:r>
          </w:p>
        </w:tc>
        <w:tc>
          <w:tcPr>
            <w:tcW w:w="1200" w:type="dxa"/>
            <w:vAlign w:val="center"/>
            <w:shd w:fill="F3F5F7"/>
          </w:tcPr>
          <w:p>
            <w:pPr>
              <w:pStyle w:val="Compact"/>
              <w:keepNext/>
              <w:spacing w:before="20" w:after="40" w:line="240" w:lineRule="auto"/>
            </w:pPr>
            <w:r>
              <w:rPr>
                <w:rFonts w:ascii="Calibri" w:hAnsi="Calibri"/>
                <w:color w:val="202A3A"/>
                <w:sz w:val="18"/>
              </w:rPr>
              <w:t xml:space="preserve">≤ 40 words</w:t>
            </w:r>
          </w:p>
        </w:tc>
        <w:tc>
          <w:tcPr>
            <w:tcW w:w="6060" w:type="dxa"/>
            <w:vAlign w:val="center"/>
            <w:shd w:fill="F3F5F7"/>
          </w:tcPr>
          <w:p>
            <w:pPr>
              <w:pStyle w:val="Compact"/>
              <w:keepNext/>
              <w:spacing w:before="20" w:after="40" w:line="240" w:lineRule="auto"/>
            </w:pPr>
            <w:r>
              <w:rPr>
                <w:rFonts w:ascii="Calibri" w:hAnsi="Calibri"/>
                <w:color w:val="202A3A"/>
                <w:sz w:val="18"/>
              </w:rPr>
              <w:t xml:space="preserve">Observed behavior in plain English — entry, persistence, movement — ATT&amp;CK/CVE in parentheses; Confidence; if root cause unconfirmed, leading hypothesis and validation date; No attribution unless evidence-supported, qualified, counsel-approved;</w:t>
            </w:r>
          </w:p>
        </w:tc>
      </w:tr>
      <w:tr>
        <w:trPr>
          <w:cantSplit/>
        </w:trPr>
        <w:tc>
          <w:tcPr>
            <w:tcW w:w="2100" w:type="dxa"/>
            <w:vAlign w:val="center"/>
          </w:tcPr>
          <w:p>
            <w:pPr>
              <w:pStyle w:val="Compact"/>
              <w:keepNext/>
              <w:spacing w:before="20" w:after="40" w:line="240" w:lineRule="auto"/>
            </w:pPr>
            <w:r>
              <w:rPr>
                <w:rFonts w:ascii="Calibri" w:hAnsi="Calibri"/>
                <w:color w:val="202A3A"/>
                <w:sz w:val="18"/>
              </w:rPr>
              <w:t xml:space="preserve">7 Response and Recovery</w:t>
            </w:r>
          </w:p>
        </w:tc>
        <w:tc>
          <w:tcPr>
            <w:tcW w:w="1200" w:type="dxa"/>
            <w:vAlign w:val="center"/>
          </w:tcPr>
          <w:p>
            <w:pPr>
              <w:pStyle w:val="Compact"/>
              <w:keepNext/>
              <w:spacing w:before="20" w:after="40" w:line="240" w:lineRule="auto"/>
            </w:pPr>
            <w:r>
              <w:rPr>
                <w:rFonts w:ascii="Calibri" w:hAnsi="Calibri"/>
                <w:color w:val="202A3A"/>
                <w:sz w:val="18"/>
              </w:rPr>
              <w:t xml:space="preserve">≤ 40 words</w:t>
            </w:r>
          </w:p>
        </w:tc>
        <w:tc>
          <w:tcPr>
            <w:tcW w:w="6060" w:type="dxa"/>
            <w:vAlign w:val="center"/>
          </w:tcPr>
          <w:p>
            <w:pPr>
              <w:pStyle w:val="Compact"/>
              <w:keepNext/>
              <w:spacing w:before="20" w:after="40" w:line="240" w:lineRule="auto"/>
            </w:pPr>
            <w:r>
              <w:rPr>
                <w:rFonts w:ascii="Calibri" w:hAnsi="Calibri"/>
                <w:color w:val="202A3A"/>
                <w:sz w:val="18"/>
              </w:rPr>
              <w:t xml:space="preserve">Containment, eradication, evidence preservation, restoration, validation — timestamped and owned; States: DONE | IN PROGRESS | PLANNED | BLOCKED | VALIDATED; Recovery is complete only when the business owner accepts it;</w:t>
            </w:r>
          </w:p>
        </w:tc>
      </w:tr>
      <w:tr>
        <w:trPr>
          <w:cantSplit/>
        </w:trPr>
        <w:tc>
          <w:tcPr>
            <w:tcW w:w="2100" w:type="dxa"/>
            <w:vAlign w:val="center"/>
            <w:shd w:fill="F3F5F7"/>
          </w:tcPr>
          <w:p>
            <w:pPr>
              <w:pStyle w:val="Compact"/>
              <w:keepNext/>
              <w:spacing w:before="20" w:after="40" w:line="240" w:lineRule="auto"/>
            </w:pPr>
            <w:r>
              <w:rPr>
                <w:rFonts w:ascii="Calibri" w:hAnsi="Calibri"/>
                <w:color w:val="202A3A"/>
                <w:sz w:val="18"/>
              </w:rPr>
              <w:t xml:space="preserve">8 Known Unknowns</w:t>
            </w:r>
          </w:p>
        </w:tc>
        <w:tc>
          <w:tcPr>
            <w:tcW w:w="1200" w:type="dxa"/>
            <w:vAlign w:val="center"/>
            <w:shd w:fill="F3F5F7"/>
          </w:tcPr>
          <w:p>
            <w:pPr>
              <w:pStyle w:val="Compact"/>
              <w:keepNext/>
              <w:spacing w:before="20" w:after="40" w:line="240" w:lineRule="auto"/>
            </w:pPr>
            <w:r>
              <w:rPr>
                <w:rFonts w:ascii="Calibri" w:hAnsi="Calibri"/>
                <w:color w:val="202A3A"/>
                <w:sz w:val="18"/>
              </w:rPr>
              <w:t xml:space="preserve">≤ 3 bullets</w:t>
            </w:r>
          </w:p>
        </w:tc>
        <w:tc>
          <w:tcPr>
            <w:tcW w:w="6060" w:type="dxa"/>
            <w:vAlign w:val="center"/>
            <w:shd w:fill="F3F5F7"/>
          </w:tcPr>
          <w:p>
            <w:pPr>
              <w:pStyle w:val="Compact"/>
              <w:keepNext/>
              <w:spacing w:before="20" w:after="40" w:line="240" w:lineRule="auto"/>
            </w:pPr>
            <w:r>
              <w:rPr>
                <w:rFonts w:ascii="Calibri" w:hAnsi="Calibri"/>
                <w:color w:val="202A3A"/>
                <w:sz w:val="18"/>
              </w:rPr>
              <w:t xml:space="preserve">What cannot yet be said, why it matters, when the answer is expected;</w:t>
            </w:r>
          </w:p>
        </w:tc>
      </w:tr>
      <w:tr>
        <w:trPr>
          <w:cantSplit/>
        </w:trPr>
        <w:tc>
          <w:tcPr>
            <w:tcW w:w="2100" w:type="dxa"/>
            <w:vAlign w:val="center"/>
          </w:tcPr>
          <w:p>
            <w:pPr>
              <w:pStyle w:val="Compact"/>
              <w:keepNext w:val="0"/>
              <w:spacing w:before="20" w:after="40" w:line="240" w:lineRule="auto"/>
            </w:pPr>
            <w:r>
              <w:rPr>
                <w:rFonts w:ascii="Calibri" w:hAnsi="Calibri"/>
                <w:color w:val="202A3A"/>
                <w:sz w:val="18"/>
              </w:rPr>
              <w:t xml:space="preserve">9 Decisions and Next Steps</w:t>
            </w:r>
          </w:p>
        </w:tc>
        <w:tc>
          <w:tcPr>
            <w:tcW w:w="1200" w:type="dxa"/>
            <w:vAlign w:val="center"/>
          </w:tcPr>
          <w:p>
            <w:pPr>
              <w:pStyle w:val="Compact"/>
              <w:keepNext w:val="0"/>
              <w:spacing w:before="20" w:after="40" w:line="240" w:lineRule="auto"/>
            </w:pPr>
            <w:r>
              <w:rPr>
                <w:rFonts w:ascii="Calibri" w:hAnsi="Calibri"/>
                <w:color w:val="202A3A"/>
                <w:sz w:val="18"/>
              </w:rPr>
              <w:t xml:space="preserve">≤ 50 words</w:t>
            </w:r>
          </w:p>
        </w:tc>
        <w:tc>
          <w:tcPr>
            <w:tcW w:w="6060" w:type="dxa"/>
            <w:vAlign w:val="center"/>
          </w:tcPr>
          <w:p>
            <w:pPr>
              <w:pStyle w:val="Compact"/>
              <w:keepNext w:val="0"/>
              <w:spacing w:before="20" w:after="40" w:line="240" w:lineRule="auto"/>
            </w:pPr>
            <w:r>
              <w:rPr>
                <w:rFonts w:ascii="Calibri" w:hAnsi="Calibri"/>
                <w:color w:val="202A3A"/>
                <w:sz w:val="18"/>
              </w:rPr>
              <w:t xml:space="preserve">Decision | Owner | Deadline | Options/tradeoff | Cost of delay | Recommendation — or “No decision required”; Immediate actions (24–48 h) with owner and date; Clocks: regulatory, contractual, insurance, customer; notifications made; Post-incident review date;</w:t>
            </w:r>
          </w:p>
        </w:tc>
      </w:tr>
    </w:tbl>
    <w:bookmarkEnd w:id="15"/>
    <w:bookmarkStart w:id="20" w:name="X3dbc8358303216dac47ab416b5e1fcd3a63ebdb"/>
    <w:p>
      <w:pPr>
        <w:pStyle w:val="Heading2"/>
        <w:pageBreakBefore/>
      </w:pPr>
      <w:r>
        <w:t xml:space="preserve">3. Status and Evidence Discipline</w:t>
      </w:r>
    </w:p>
    <w:bookmarkStart w:id="16" w:name="X4390f12a4d149bc80b5816686478dd5a7ae24fd"/>
    <w:p>
      <w:pPr>
        <w:pStyle w:val="Heading3"/>
      </w:pPr>
      <w:r>
        <w:t xml:space="preserve">3.1 Status dimensions</w:t>
      </w:r>
    </w:p>
    <w:p>
      <w:pPr>
        <w:pStyle w:val="FirstParagraph"/>
      </w:pPr>
      <w:r>
        <w:t xml:space="preserve">Status is multidimensional. Report every dimension; never collapse it to</w:t>
      </w:r>
      <w:r>
        <w:t xml:space="preserve"> </w:t>
      </w:r>
      <w:r>
        <w:t xml:space="preserve">one word. An incident can be contained while eradication is in progress</w:t>
      </w:r>
      <w:r>
        <w:t xml:space="preserve"> </w:t>
      </w:r>
      <w:r>
        <w:t xml:space="preserve">and recovery has not started.</w:t>
      </w:r>
    </w:p>
    <w:tbl>
      <w:tblPr>
        <w:tblStyle w:val="Table"/>
        <w:tblW w:type="dxa" w:w="9360"/>
        <w:jc w:val="left"/>
        <w:tblLayout w:type="fixed"/>
        <w:tblLook w:firstRow="1" w:lastRow="0" w:firstColumn="0" w:lastColumn="0" w:noHBand="0" w:noVBand="0" w:val="0020"/>
        <w:tblInd w:w="120" w:type="dxa"/>
      </w:tblPr>
      <w:tblGrid>
        <w:gridCol w:w="3100"/>
        <w:gridCol w:w="3100"/>
        <w:gridCol w:w="3160"/>
      </w:tblGrid>
      <w:tr>
        <w:trPr>
          <w:tblHeader w:val="on"/>
          <w:tblHeader w:val="true"/>
          <w:cantSplit/>
        </w:trPr>
        <w:tc>
          <w:tcPr>
            <w:tcW w:w="3100" w:type="dxa"/>
            <w:vAlign w:val="center"/>
            <w:shd w:fill="1A2B49"/>
          </w:tcPr>
          <w:p>
            <w:pPr>
              <w:pStyle w:val="Compact"/>
              <w:spacing w:after="40"/>
            </w:pPr>
            <w:r>
              <w:rPr>
                <w:rFonts w:ascii="Calibri" w:hAnsi="Calibri"/>
                <w:b/>
                <w:bCs/>
                <w:color w:val="FFFFFF"/>
                <w:sz w:val="18"/>
              </w:rPr>
              <w:t xml:space="preserve">Dimension</w:t>
            </w:r>
          </w:p>
        </w:tc>
        <w:tc>
          <w:tcPr>
            <w:tcW w:w="3100" w:type="dxa"/>
            <w:vAlign w:val="center"/>
            <w:shd w:fill="1A2B49"/>
          </w:tcPr>
          <w:p>
            <w:pPr>
              <w:pStyle w:val="Compact"/>
              <w:spacing w:after="40"/>
            </w:pPr>
            <w:r>
              <w:rPr>
                <w:rFonts w:ascii="Calibri" w:hAnsi="Calibri"/>
                <w:b/>
                <w:bCs/>
                <w:color w:val="FFFFFF"/>
                <w:sz w:val="18"/>
              </w:rPr>
              <w:t xml:space="preserve">Vocabulary</w:t>
            </w:r>
          </w:p>
        </w:tc>
        <w:tc>
          <w:tcPr>
            <w:tcW w:w="3160" w:type="dxa"/>
            <w:vAlign w:val="center"/>
            <w:shd w:fill="1A2B49"/>
          </w:tcPr>
          <w:p>
            <w:pPr>
              <w:pStyle w:val="Compact"/>
              <w:spacing w:after="40"/>
            </w:pPr>
            <w:r>
              <w:rPr>
                <w:rFonts w:ascii="Calibri" w:hAnsi="Calibri"/>
                <w:b/>
                <w:bCs/>
                <w:color w:val="FFFFFF"/>
                <w:sz w:val="18"/>
              </w:rPr>
              <w:t xml:space="preserve">Question Answered</w:t>
            </w:r>
          </w:p>
        </w:tc>
      </w:tr>
      <w:tr>
        <w:trPr>
          <w:cantSplit/>
        </w:trPr>
        <w:tc>
          <w:tcPr>
            <w:tcW w:w="3100" w:type="dxa"/>
            <w:vAlign w:val="center"/>
          </w:tcPr>
          <w:p>
            <w:pPr>
              <w:pStyle w:val="Compact"/>
              <w:spacing w:before="20" w:after="40" w:line="240" w:lineRule="auto"/>
            </w:pPr>
            <w:r>
              <w:rPr>
                <w:rFonts w:ascii="Calibri" w:hAnsi="Calibri"/>
                <w:b/>
                <w:bCs/>
                <w:color w:val="202A3A"/>
                <w:sz w:val="18"/>
              </w:rPr>
              <w:t xml:space="preserve">Investigation (DETECT)</w:t>
            </w:r>
          </w:p>
        </w:tc>
        <w:tc>
          <w:tcPr>
            <w:tcW w:w="3100" w:type="dxa"/>
            <w:vAlign w:val="center"/>
          </w:tcPr>
          <w:p>
            <w:pPr>
              <w:pStyle w:val="Compact"/>
              <w:spacing w:before="20" w:after="40" w:line="240" w:lineRule="auto"/>
            </w:pPr>
            <w:r>
              <w:rPr>
                <w:rFonts w:ascii="Calibri" w:hAnsi="Calibri"/>
                <w:color w:val="202A3A"/>
                <w:sz w:val="18"/>
              </w:rPr>
              <w:t xml:space="preserve">Active | Monitoring | Closed</w:t>
            </w:r>
          </w:p>
        </w:tc>
        <w:tc>
          <w:tcPr>
            <w:tcW w:w="3160" w:type="dxa"/>
            <w:vAlign w:val="center"/>
          </w:tcPr>
          <w:p>
            <w:pPr>
              <w:pStyle w:val="Compact"/>
              <w:spacing w:before="20" w:after="40" w:line="240" w:lineRule="auto"/>
            </w:pPr>
            <w:r>
              <w:rPr>
                <w:rFonts w:ascii="Calibri" w:hAnsi="Calibri"/>
                <w:color w:val="202A3A"/>
                <w:sz w:val="18"/>
              </w:rPr>
              <w:t xml:space="preserve">Are facts and scope still being established?</w:t>
            </w:r>
          </w:p>
        </w:tc>
      </w:tr>
      <w:tr>
        <w:trPr>
          <w:cantSplit/>
        </w:trPr>
        <w:tc>
          <w:tcPr>
            <w:tcW w:w="3100" w:type="dxa"/>
            <w:vAlign w:val="center"/>
            <w:shd w:fill="F3F5F7"/>
          </w:tcPr>
          <w:p>
            <w:pPr>
              <w:pStyle w:val="Compact"/>
              <w:spacing w:before="20" w:after="40" w:line="240" w:lineRule="auto"/>
            </w:pPr>
            <w:r>
              <w:rPr>
                <w:rFonts w:ascii="Calibri" w:hAnsi="Calibri"/>
                <w:b/>
                <w:bCs/>
                <w:color w:val="202A3A"/>
                <w:sz w:val="18"/>
              </w:rPr>
              <w:t xml:space="preserve">Containment (RESPOND)</w:t>
            </w:r>
          </w:p>
        </w:tc>
        <w:tc>
          <w:tcPr>
            <w:tcW w:w="3100" w:type="dxa"/>
            <w:vAlign w:val="center"/>
            <w:shd w:fill="F3F5F7"/>
          </w:tcPr>
          <w:p>
            <w:pPr>
              <w:pStyle w:val="Compact"/>
              <w:spacing w:before="20" w:after="40" w:line="240" w:lineRule="auto"/>
            </w:pPr>
            <w:r>
              <w:rPr>
                <w:rFonts w:ascii="Calibri" w:hAnsi="Calibri"/>
                <w:color w:val="202A3A"/>
                <w:sz w:val="18"/>
              </w:rPr>
              <w:t xml:space="preserve">Not contained | Partial | Contained</w:t>
            </w:r>
          </w:p>
        </w:tc>
        <w:tc>
          <w:tcPr>
            <w:tcW w:w="3160" w:type="dxa"/>
            <w:vAlign w:val="center"/>
            <w:shd w:fill="F3F5F7"/>
          </w:tcPr>
          <w:p>
            <w:pPr>
              <w:pStyle w:val="Compact"/>
              <w:spacing w:before="20" w:after="40" w:line="240" w:lineRule="auto"/>
            </w:pPr>
            <w:r>
              <w:rPr>
                <w:rFonts w:ascii="Calibri" w:hAnsi="Calibri"/>
                <w:color w:val="202A3A"/>
                <w:sz w:val="18"/>
              </w:rPr>
              <w:t xml:space="preserve">Has spread or further harm been stopped?</w:t>
            </w:r>
          </w:p>
        </w:tc>
      </w:tr>
      <w:tr>
        <w:trPr>
          <w:cantSplit/>
        </w:trPr>
        <w:tc>
          <w:tcPr>
            <w:tcW w:w="3100" w:type="dxa"/>
            <w:vAlign w:val="center"/>
          </w:tcPr>
          <w:p>
            <w:pPr>
              <w:pStyle w:val="Compact"/>
              <w:spacing w:before="20" w:after="40" w:line="240" w:lineRule="auto"/>
            </w:pPr>
            <w:r>
              <w:rPr>
                <w:rFonts w:ascii="Calibri" w:hAnsi="Calibri"/>
                <w:b/>
                <w:bCs/>
                <w:color w:val="202A3A"/>
                <w:sz w:val="18"/>
              </w:rPr>
              <w:t xml:space="preserve">Eradication (RESPOND)</w:t>
            </w:r>
          </w:p>
        </w:tc>
        <w:tc>
          <w:tcPr>
            <w:tcW w:w="3100" w:type="dxa"/>
            <w:vAlign w:val="center"/>
          </w:tcPr>
          <w:p>
            <w:pPr>
              <w:pStyle w:val="Compact"/>
              <w:spacing w:before="20" w:after="40" w:line="240" w:lineRule="auto"/>
            </w:pPr>
            <w:r>
              <w:rPr>
                <w:rFonts w:ascii="Calibri" w:hAnsi="Calibri"/>
                <w:color w:val="202A3A"/>
                <w:sz w:val="18"/>
              </w:rPr>
              <w:t xml:space="preserve">Not started | In progress | Complete | Validated</w:t>
            </w:r>
          </w:p>
        </w:tc>
        <w:tc>
          <w:tcPr>
            <w:tcW w:w="3160" w:type="dxa"/>
            <w:vAlign w:val="center"/>
          </w:tcPr>
          <w:p>
            <w:pPr>
              <w:pStyle w:val="Compact"/>
              <w:spacing w:before="20" w:after="40" w:line="240" w:lineRule="auto"/>
            </w:pPr>
            <w:r>
              <w:rPr>
                <w:rFonts w:ascii="Calibri" w:hAnsi="Calibri"/>
                <w:color w:val="202A3A"/>
                <w:sz w:val="18"/>
              </w:rPr>
              <w:t xml:space="preserve">Are access, persistence, and enabling conditions removed?</w:t>
            </w:r>
          </w:p>
        </w:tc>
      </w:tr>
      <w:tr>
        <w:trPr>
          <w:cantSplit/>
        </w:trPr>
        <w:tc>
          <w:tcPr>
            <w:tcW w:w="3100" w:type="dxa"/>
            <w:vAlign w:val="center"/>
            <w:shd w:fill="F3F5F7"/>
          </w:tcPr>
          <w:p>
            <w:pPr>
              <w:pStyle w:val="Compact"/>
              <w:spacing w:before="20" w:after="40" w:line="240" w:lineRule="auto"/>
            </w:pPr>
            <w:r>
              <w:rPr>
                <w:rFonts w:ascii="Calibri" w:hAnsi="Calibri"/>
                <w:b/>
                <w:bCs/>
                <w:color w:val="202A3A"/>
                <w:sz w:val="18"/>
              </w:rPr>
              <w:t xml:space="preserve">Recovery (RECOVER)</w:t>
            </w:r>
          </w:p>
        </w:tc>
        <w:tc>
          <w:tcPr>
            <w:tcW w:w="3100" w:type="dxa"/>
            <w:vAlign w:val="center"/>
            <w:shd w:fill="F3F5F7"/>
          </w:tcPr>
          <w:p>
            <w:pPr>
              <w:pStyle w:val="Compact"/>
              <w:spacing w:before="20" w:after="40" w:line="240" w:lineRule="auto"/>
            </w:pPr>
            <w:r>
              <w:rPr>
                <w:rFonts w:ascii="Calibri" w:hAnsi="Calibri"/>
                <w:color w:val="202A3A"/>
                <w:sz w:val="18"/>
              </w:rPr>
              <w:t xml:space="preserve">Not started | In progress | Restored | Validated</w:t>
            </w:r>
          </w:p>
        </w:tc>
        <w:tc>
          <w:tcPr>
            <w:tcW w:w="3160" w:type="dxa"/>
            <w:vAlign w:val="center"/>
            <w:shd w:fill="F3F5F7"/>
          </w:tcPr>
          <w:p>
            <w:pPr>
              <w:pStyle w:val="Compact"/>
              <w:spacing w:before="20" w:after="40" w:line="240" w:lineRule="auto"/>
            </w:pPr>
            <w:r>
              <w:rPr>
                <w:rFonts w:ascii="Calibri" w:hAnsi="Calibri"/>
                <w:color w:val="202A3A"/>
                <w:sz w:val="18"/>
              </w:rPr>
              <w:t xml:space="preserve">Are services restored and accepted by the business owner?</w:t>
            </w:r>
          </w:p>
        </w:tc>
      </w:tr>
      <w:tr>
        <w:trPr>
          <w:cantSplit/>
        </w:trPr>
        <w:tc>
          <w:tcPr>
            <w:tcW w:w="3100" w:type="dxa"/>
            <w:vAlign w:val="center"/>
          </w:tcPr>
          <w:p>
            <w:pPr>
              <w:pStyle w:val="Compact"/>
              <w:spacing w:before="20" w:after="40" w:line="240" w:lineRule="auto"/>
            </w:pPr>
            <w:r>
              <w:rPr>
                <w:rFonts w:ascii="Calibri" w:hAnsi="Calibri"/>
                <w:b/>
                <w:bCs/>
                <w:color w:val="202A3A"/>
                <w:sz w:val="18"/>
              </w:rPr>
              <w:t xml:space="preserve">Residual risk (GOVERN / IDENTIFY)</w:t>
            </w:r>
          </w:p>
        </w:tc>
        <w:tc>
          <w:tcPr>
            <w:tcW w:w="3100" w:type="dxa"/>
            <w:vAlign w:val="center"/>
          </w:tcPr>
          <w:p>
            <w:pPr>
              <w:pStyle w:val="Compact"/>
              <w:spacing w:before="20" w:after="40" w:line="240" w:lineRule="auto"/>
            </w:pPr>
            <w:r>
              <w:rPr>
                <w:rFonts w:ascii="Calibri" w:hAnsi="Calibri"/>
                <w:color w:val="202A3A"/>
                <w:sz w:val="18"/>
              </w:rPr>
              <w:t xml:space="preserve">Critical | High | Moderate | Low</w:t>
            </w:r>
          </w:p>
        </w:tc>
        <w:tc>
          <w:tcPr>
            <w:tcW w:w="3160" w:type="dxa"/>
            <w:vAlign w:val="center"/>
          </w:tcPr>
          <w:p>
            <w:pPr>
              <w:pStyle w:val="Compact"/>
              <w:spacing w:before="20" w:after="40" w:line="240" w:lineRule="auto"/>
            </w:pPr>
            <w:r>
              <w:rPr>
                <w:rFonts w:ascii="Calibri" w:hAnsi="Calibri"/>
                <w:color w:val="202A3A"/>
                <w:sz w:val="18"/>
              </w:rPr>
              <w:t xml:space="preserve">What exposure remains after current controls? State it even when Low.</w:t>
            </w:r>
          </w:p>
        </w:tc>
      </w:tr>
    </w:tbl>
    <w:p>
      <w:pPr>
        <w:pStyle w:val="BodyText"/>
      </w:pPr>
      <w:r>
        <w:rPr>
          <w:i/>
          <w:iCs/>
        </w:rPr>
        <w:t xml:space="preserve">Dimensions follow the NIST SP 800-61r3 lifecycle mapped to CSF 2.0</w:t>
      </w:r>
      <w:r>
        <w:rPr>
          <w:i/>
          <w:iCs/>
        </w:rPr>
        <w:t xml:space="preserve"> </w:t>
      </w:r>
      <w:r>
        <w:rPr>
          <w:i/>
          <w:iCs/>
        </w:rPr>
        <w:t xml:space="preserve">Functions: Detect DE.AE; Respond RS.MI containment and eradication;</w:t>
      </w:r>
      <w:r>
        <w:rPr>
          <w:i/>
          <w:iCs/>
        </w:rPr>
        <w:t xml:space="preserve"> </w:t>
      </w:r>
      <w:r>
        <w:rPr>
          <w:i/>
          <w:iCs/>
        </w:rPr>
        <w:t xml:space="preserve">Recover RC.RP; Govern / Identify GV.RM, ID.RA residual risk.</w:t>
      </w:r>
    </w:p>
    <w:bookmarkEnd w:id="16"/>
    <w:bookmarkStart w:id="17" w:name="X6e89f38e696416421836581aa3d74bf0fa54760"/>
    <w:p>
      <w:pPr>
        <w:pStyle w:val="Heading3"/>
      </w:pPr>
      <w:r>
        <w:t xml:space="preserve">3.2 Evidence and confidence labels</w:t>
      </w:r>
    </w:p>
    <w:tbl>
      <w:tblPr>
        <w:tblStyle w:val="Table"/>
        <w:tblW w:type="dxa" w:w="9360"/>
        <w:jc w:val="left"/>
        <w:tblLayout w:type="fixed"/>
        <w:tblLook w:firstRow="1" w:lastRow="0" w:firstColumn="0" w:lastColumn="0" w:noHBand="0" w:noVBand="0" w:val="0020"/>
        <w:tblInd w:w="120" w:type="dxa"/>
      </w:tblPr>
      <w:tblGrid>
        <w:gridCol w:w="2700"/>
        <w:gridCol w:w="6660"/>
      </w:tblGrid>
      <w:tr>
        <w:trPr>
          <w:tblHeader w:val="on"/>
          <w:tblHeader w:val="true"/>
          <w:cantSplit/>
        </w:trPr>
        <w:tc>
          <w:tcPr>
            <w:tcW w:w="2700" w:type="dxa"/>
            <w:vAlign w:val="center"/>
            <w:shd w:fill="1A2B49"/>
          </w:tcPr>
          <w:p>
            <w:pPr>
              <w:pStyle w:val="Compact"/>
              <w:spacing w:after="40"/>
            </w:pPr>
            <w:r>
              <w:rPr>
                <w:rFonts w:ascii="Calibri" w:hAnsi="Calibri"/>
                <w:b/>
                <w:bCs/>
                <w:color w:val="FFFFFF"/>
                <w:sz w:val="18"/>
              </w:rPr>
              <w:t xml:space="preserve">Label</w:t>
            </w:r>
          </w:p>
        </w:tc>
        <w:tc>
          <w:tcPr>
            <w:tcW w:w="6660" w:type="dxa"/>
            <w:vAlign w:val="center"/>
            <w:shd w:fill="1A2B49"/>
          </w:tcPr>
          <w:p>
            <w:pPr>
              <w:pStyle w:val="Compact"/>
              <w:spacing w:after="40"/>
            </w:pPr>
            <w:r>
              <w:rPr>
                <w:rFonts w:ascii="Calibri" w:hAnsi="Calibri"/>
                <w:b/>
                <w:bCs/>
                <w:color w:val="FFFFFF"/>
                <w:sz w:val="18"/>
              </w:rPr>
              <w:t xml:space="preserve">Meaning</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Confirmed</w:t>
            </w:r>
          </w:p>
        </w:tc>
        <w:tc>
          <w:tcPr>
            <w:tcW w:w="6660" w:type="dxa"/>
            <w:vAlign w:val="center"/>
          </w:tcPr>
          <w:p>
            <w:pPr>
              <w:pStyle w:val="Compact"/>
              <w:spacing w:before="20" w:after="40" w:line="240" w:lineRule="auto"/>
            </w:pPr>
            <w:r>
              <w:rPr>
                <w:rFonts w:ascii="Calibri" w:hAnsi="Calibri"/>
                <w:color w:val="202A3A"/>
                <w:sz w:val="18"/>
              </w:rPr>
              <w:t xml:space="preserve">Supported by validated evidence.</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Assessed</w:t>
            </w:r>
          </w:p>
        </w:tc>
        <w:tc>
          <w:tcPr>
            <w:tcW w:w="6660" w:type="dxa"/>
            <w:vAlign w:val="center"/>
            <w:shd w:fill="F3F5F7"/>
          </w:tcPr>
          <w:p>
            <w:pPr>
              <w:pStyle w:val="Compact"/>
              <w:spacing w:before="20" w:after="40" w:line="240" w:lineRule="auto"/>
            </w:pPr>
            <w:r>
              <w:rPr>
                <w:rFonts w:ascii="Calibri" w:hAnsi="Calibri"/>
                <w:color w:val="202A3A"/>
                <w:sz w:val="18"/>
              </w:rPr>
              <w:t xml:space="preserve">Most likely explanation on current evidence; state confidence (low / moderate / high).</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Suspected</w:t>
            </w:r>
          </w:p>
        </w:tc>
        <w:tc>
          <w:tcPr>
            <w:tcW w:w="6660" w:type="dxa"/>
            <w:vAlign w:val="center"/>
          </w:tcPr>
          <w:p>
            <w:pPr>
              <w:pStyle w:val="Compact"/>
              <w:spacing w:before="20" w:after="40" w:line="240" w:lineRule="auto"/>
            </w:pPr>
            <w:r>
              <w:rPr>
                <w:rFonts w:ascii="Calibri" w:hAnsi="Calibri"/>
                <w:color w:val="202A3A"/>
                <w:sz w:val="18"/>
              </w:rPr>
              <w:t xml:space="preserve">Plausible, not sufficiently validated.</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Ruled out</w:t>
            </w:r>
          </w:p>
        </w:tc>
        <w:tc>
          <w:tcPr>
            <w:tcW w:w="6660" w:type="dxa"/>
            <w:vAlign w:val="center"/>
            <w:shd w:fill="F3F5F7"/>
          </w:tcPr>
          <w:p>
            <w:pPr>
              <w:pStyle w:val="Compact"/>
              <w:spacing w:before="20" w:after="40" w:line="240" w:lineRule="auto"/>
            </w:pPr>
            <w:r>
              <w:rPr>
                <w:rFonts w:ascii="Calibri" w:hAnsi="Calibri"/>
                <w:color w:val="202A3A"/>
                <w:sz w:val="18"/>
              </w:rPr>
              <w:t xml:space="preserve">Excluded within a stated scope and visibility; name what was checked.</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Unknown</w:t>
            </w:r>
          </w:p>
        </w:tc>
        <w:tc>
          <w:tcPr>
            <w:tcW w:w="6660" w:type="dxa"/>
            <w:vAlign w:val="center"/>
          </w:tcPr>
          <w:p>
            <w:pPr>
              <w:pStyle w:val="Compact"/>
              <w:spacing w:before="20" w:after="40" w:line="240" w:lineRule="auto"/>
            </w:pPr>
            <w:r>
              <w:rPr>
                <w:rFonts w:ascii="Calibri" w:hAnsi="Calibri"/>
                <w:color w:val="202A3A"/>
                <w:sz w:val="18"/>
              </w:rPr>
              <w:t xml:space="preserve">Evidence unavailable or analysis incomplete; say when it will be known.</w:t>
            </w:r>
          </w:p>
        </w:tc>
      </w:tr>
    </w:tbl>
    <w:p>
      <w:pPr>
        <w:pStyle w:val="BodyText"/>
      </w:pPr>
      <w:r>
        <w:rPr>
          <w:i/>
          <w:iCs/>
        </w:rPr>
        <w:t xml:space="preserve">Source: adapted from ODNI ICD 203, Analytic Standards (separate</w:t>
      </w:r>
      <w:r>
        <w:rPr>
          <w:i/>
          <w:iCs/>
        </w:rPr>
        <w:t xml:space="preserve"> </w:t>
      </w:r>
      <w:r>
        <w:rPr>
          <w:i/>
          <w:iCs/>
        </w:rPr>
        <w:t xml:space="preserve">information from judgment; express confidence as low / moderate / high)</w:t>
      </w:r>
      <w:r>
        <w:rPr>
          <w:i/>
          <w:iCs/>
        </w:rPr>
        <w:t xml:space="preserve"> </w:t>
      </w:r>
      <w:r>
        <w:rPr>
          <w:i/>
          <w:iCs/>
        </w:rPr>
        <w:t xml:space="preserve">and NIST SP 800-61 Rev. 2 §3.2.7 (incident records distinguish confirmed</w:t>
      </w:r>
      <w:r>
        <w:rPr>
          <w:i/>
          <w:iCs/>
        </w:rPr>
        <w:t xml:space="preserve"> </w:t>
      </w:r>
      <w:r>
        <w:rPr>
          <w:i/>
          <w:iCs/>
        </w:rPr>
        <w:t xml:space="preserve">from suspected). The five-label set is a Kalos convention built on those</w:t>
      </w:r>
      <w:r>
        <w:rPr>
          <w:i/>
          <w:iCs/>
        </w:rPr>
        <w:t xml:space="preserve"> </w:t>
      </w:r>
      <w:r>
        <w:rPr>
          <w:i/>
          <w:iCs/>
        </w:rPr>
        <w:t xml:space="preserve">standards.</w:t>
      </w:r>
    </w:p>
    <w:bookmarkEnd w:id="17"/>
    <w:bookmarkStart w:id="18" w:name="X51b561572e651453ed427cad14e43c354e1b281"/>
    <w:p>
      <w:pPr>
        <w:pStyle w:val="Heading3"/>
      </w:pPr>
      <w:r>
        <w:t xml:space="preserve">“No evidence” statements — state the visibility boundary</w:t>
      </w:r>
    </w:p>
    <w:p>
      <w:pPr>
        <w:pStyle w:val="FirstParagraph"/>
      </w:pPr>
      <w:r>
        <w:t xml:space="preserve">A visibility boundary is the edge of what you actually looked at: which</w:t>
      </w:r>
      <w:r>
        <w:t xml:space="preserve"> </w:t>
      </w:r>
      <w:r>
        <w:t xml:space="preserve">data sources, which systems, which time window. Inside it you can say</w:t>
      </w:r>
      <w:r>
        <w:t xml:space="preserve"> </w:t>
      </w:r>
      <w:r>
        <w:t xml:space="preserve">what you did and did not find; outside it you know nothing, so a claim</w:t>
      </w:r>
      <w:r>
        <w:t xml:space="preserve"> </w:t>
      </w:r>
      <w:r>
        <w:t xml:space="preserve">that reaches past it is a guess dressed as a finding. Plain terms: “I</w:t>
      </w:r>
      <w:r>
        <w:t xml:space="preserve"> </w:t>
      </w:r>
      <w:r>
        <w:t xml:space="preserve">checked every room on the second floor between 8 and 10 pm and saw no</w:t>
      </w:r>
      <w:r>
        <w:t xml:space="preserve"> </w:t>
      </w:r>
      <w:r>
        <w:t xml:space="preserve">one” is bounded; “nobody was in the house” claims rooms and hours you</w:t>
      </w:r>
      <w:r>
        <w:t xml:space="preserve"> </w:t>
      </w:r>
      <w:r>
        <w:t xml:space="preserve">never checked.</w:t>
      </w:r>
    </w:p>
    <w:tbl>
      <w:tblPr>
        <w:tblStyle w:val="Table"/>
        <w:tblW w:type="dxa" w:w="9360"/>
        <w:tblLayout w:type="fixed"/>
        <w:tblLook w:firstRow="1" w:lastRow="0" w:firstColumn="0" w:lastColumn="0" w:noHBand="0" w:noVBand="0" w:val="0020"/>
        <w:jc w:val="left"/>
        <w:tblInd w:w="120" w:type="dxa"/>
      </w:tblPr>
      <w:tblGrid>
        <w:gridCol w:w="3100"/>
        <w:gridCol w:w="1200"/>
        <w:gridCol w:w="5060"/>
      </w:tblGrid>
      <w:tr>
        <w:trPr>
          <w:tblHeader w:val="on"/>
          <w:tblHeader w:val="true"/>
          <w:cantSplit/>
        </w:trPr>
        <w:tc>
          <w:tcPr>
            <w:tcW w:w="3100" w:type="dxa"/>
            <w:vAlign w:val="center"/>
            <w:shd w:fill="1A2B49"/>
          </w:tcPr>
          <w:p>
            <w:pPr>
              <w:pStyle w:val="Compact"/>
              <w:spacing w:after="40"/>
            </w:pPr>
            <w:r>
              <w:rPr>
                <w:rFonts w:ascii="Calibri" w:hAnsi="Calibri"/>
                <w:b/>
                <w:bCs/>
                <w:color w:val="FFFFFF"/>
                <w:sz w:val="18"/>
              </w:rPr>
              <w:t xml:space="preserve">Statement</w:t>
            </w:r>
          </w:p>
        </w:tc>
        <w:tc>
          <w:tcPr>
            <w:tcW w:w="1200" w:type="dxa"/>
            <w:vAlign w:val="center"/>
            <w:shd w:fill="1A2B49"/>
          </w:tcPr>
          <w:p>
            <w:pPr>
              <w:pStyle w:val="Compact"/>
              <w:spacing w:after="40"/>
            </w:pPr>
            <w:r>
              <w:rPr>
                <w:rFonts w:ascii="Calibri" w:hAnsi="Calibri"/>
                <w:b/>
                <w:bCs/>
                <w:color w:val="FFFFFF"/>
                <w:sz w:val="18"/>
              </w:rPr>
              <w:t xml:space="preserve">Verdict</w:t>
            </w:r>
          </w:p>
        </w:tc>
        <w:tc>
          <w:tcPr>
            <w:tcW w:w="5060" w:type="dxa"/>
            <w:vAlign w:val="center"/>
            <w:shd w:fill="1A2B49"/>
          </w:tcPr>
          <w:p>
            <w:pPr>
              <w:pStyle w:val="Compact"/>
              <w:spacing w:after="40"/>
            </w:pPr>
            <w:r>
              <w:rPr>
                <w:rFonts w:ascii="Calibri" w:hAnsi="Calibri"/>
                <w:b/>
                <w:bCs/>
                <w:color w:val="FFFFFF"/>
                <w:sz w:val="18"/>
              </w:rPr>
              <w:t xml:space="preserve">Why</w:t>
            </w:r>
          </w:p>
        </w:tc>
      </w:tr>
      <w:tr>
        <w:trPr>
          <w:cantSplit/>
        </w:trPr>
        <w:tc>
          <w:tcPr>
            <w:tcW w:w="3100" w:type="dxa"/>
            <w:vAlign w:val="center"/>
          </w:tcPr>
          <w:p>
            <w:pPr>
              <w:pStyle w:val="Compact"/>
              <w:spacing w:before="20" w:after="40" w:line="240" w:lineRule="auto"/>
            </w:pPr>
            <w:r>
              <w:rPr>
                <w:rFonts w:ascii="Calibri" w:hAnsi="Calibri"/>
                <w:b/>
                <w:bCs/>
                <w:color w:val="202A3A"/>
                <w:sz w:val="18"/>
              </w:rPr>
              <w:t xml:space="preserve">“No data was stolen.”</w:t>
            </w:r>
          </w:p>
        </w:tc>
        <w:tc>
          <w:tcPr>
            <w:tcW w:w="1200" w:type="dxa"/>
            <w:vAlign w:val="center"/>
          </w:tcPr>
          <w:p>
            <w:pPr>
              <w:pStyle w:val="Compact"/>
              <w:spacing w:before="20" w:after="40" w:line="240" w:lineRule="auto"/>
            </w:pPr>
            <w:r>
              <w:rPr>
                <w:rFonts w:ascii="Calibri" w:hAnsi="Calibri"/>
                <w:color w:val="202A3A"/>
                <w:sz w:val="18"/>
              </w:rPr>
              <w:t xml:space="preserve">Not defensible</w:t>
            </w:r>
          </w:p>
        </w:tc>
        <w:tc>
          <w:tcPr>
            <w:tcW w:w="5060" w:type="dxa"/>
            <w:vAlign w:val="center"/>
          </w:tcPr>
          <w:p>
            <w:pPr>
              <w:pStyle w:val="Compact"/>
              <w:spacing w:before="20" w:after="40" w:line="240" w:lineRule="auto"/>
            </w:pPr>
            <w:r>
              <w:rPr>
                <w:rFonts w:ascii="Calibri" w:hAnsi="Calibri"/>
                <w:color w:val="202A3A"/>
                <w:sz w:val="18"/>
              </w:rPr>
              <w:t xml:space="preserve">Claims a fact about everything, everywhere, at all times. You checked some sources for some period; the sentence promises more than the evidence covers.</w:t>
            </w:r>
          </w:p>
        </w:tc>
      </w:tr>
      <w:tr>
        <w:trPr>
          <w:cantSplit/>
        </w:trPr>
        <w:tc>
          <w:tcPr>
            <w:tcW w:w="3100" w:type="dxa"/>
            <w:vAlign w:val="center"/>
            <w:shd w:fill="F3F5F7"/>
          </w:tcPr>
          <w:p>
            <w:pPr>
              <w:pStyle w:val="Compact"/>
              <w:spacing w:before="20" w:after="40" w:line="240" w:lineRule="auto"/>
            </w:pPr>
            <w:r>
              <w:rPr>
                <w:rFonts w:ascii="Calibri" w:hAnsi="Calibri"/>
                <w:b/>
                <w:bCs/>
                <w:color w:val="202A3A"/>
                <w:sz w:val="18"/>
              </w:rPr>
              <w:t xml:space="preserve">“No evidence of exfiltration was found.”</w:t>
            </w:r>
          </w:p>
        </w:tc>
        <w:tc>
          <w:tcPr>
            <w:tcW w:w="1200" w:type="dxa"/>
            <w:vAlign w:val="center"/>
            <w:shd w:fill="F3F5F7"/>
          </w:tcPr>
          <w:p>
            <w:pPr>
              <w:pStyle w:val="Compact"/>
              <w:spacing w:before="20" w:after="40" w:line="240" w:lineRule="auto"/>
            </w:pPr>
            <w:r>
              <w:rPr>
                <w:rFonts w:ascii="Calibri" w:hAnsi="Calibri"/>
                <w:color w:val="202A3A"/>
                <w:sz w:val="18"/>
              </w:rPr>
              <w:t xml:space="preserve">Not defensible</w:t>
            </w:r>
          </w:p>
        </w:tc>
        <w:tc>
          <w:tcPr>
            <w:tcW w:w="5060" w:type="dxa"/>
            <w:vAlign w:val="center"/>
            <w:shd w:fill="F3F5F7"/>
          </w:tcPr>
          <w:p>
            <w:pPr>
              <w:pStyle w:val="Compact"/>
              <w:spacing w:before="20" w:after="40" w:line="240" w:lineRule="auto"/>
            </w:pPr>
            <w:r>
              <w:rPr>
                <w:rFonts w:ascii="Calibri" w:hAnsi="Calibri"/>
                <w:color w:val="202A3A"/>
                <w:sz w:val="18"/>
              </w:rPr>
              <w:t xml:space="preserve">Unbounded — found where? for when? The reader assumes you looked everywhere.</w:t>
            </w:r>
          </w:p>
        </w:tc>
      </w:tr>
      <w:tr>
        <w:trPr>
          <w:cantSplit/>
        </w:trPr>
        <w:tc>
          <w:tcPr>
            <w:tcW w:w="3100" w:type="dxa"/>
            <w:vAlign w:val="center"/>
          </w:tcPr>
          <w:p>
            <w:pPr>
              <w:pStyle w:val="Compact"/>
              <w:spacing w:before="20" w:after="40" w:line="240" w:lineRule="auto"/>
            </w:pPr>
            <w:r>
              <w:rPr>
                <w:rFonts w:ascii="Calibri" w:hAnsi="Calibri"/>
                <w:b/>
                <w:bCs/>
                <w:color w:val="202A3A"/>
                <w:sz w:val="18"/>
              </w:rPr>
              <w:t xml:space="preserve">“No evidence of exfiltration was identified in 30 days of egress NetFlow and EDR telemetry from the 3 affected hosts.”</w:t>
            </w:r>
          </w:p>
        </w:tc>
        <w:tc>
          <w:tcPr>
            <w:tcW w:w="1200" w:type="dxa"/>
            <w:vAlign w:val="center"/>
          </w:tcPr>
          <w:p>
            <w:pPr>
              <w:pStyle w:val="Compact"/>
              <w:spacing w:before="20" w:after="40" w:line="240" w:lineRule="auto"/>
            </w:pPr>
            <w:r>
              <w:rPr>
                <w:rFonts w:ascii="Calibri" w:hAnsi="Calibri"/>
                <w:color w:val="202A3A"/>
                <w:sz w:val="18"/>
              </w:rPr>
              <w:t xml:space="preserve">Defensible</w:t>
            </w:r>
          </w:p>
        </w:tc>
        <w:tc>
          <w:tcPr>
            <w:tcW w:w="5060" w:type="dxa"/>
            <w:vAlign w:val="center"/>
          </w:tcPr>
          <w:p>
            <w:pPr>
              <w:pStyle w:val="Compact"/>
              <w:spacing w:before="20" w:after="40" w:line="240" w:lineRule="auto"/>
            </w:pPr>
            <w:r>
              <w:rPr>
                <w:rFonts w:ascii="Calibri" w:hAnsi="Calibri"/>
                <w:color w:val="202A3A"/>
                <w:sz w:val="18"/>
              </w:rPr>
              <w:t xml:space="preserve">Names the sources (NetFlow, EDR), the systems (3 affected hosts), and the window (30 days). Anything outside that is explicitly still unknown and can be listed under Known Unknowns.</w:t>
            </w:r>
          </w:p>
        </w:tc>
      </w:tr>
    </w:tbl>
    <w:p>
      <w:pPr>
        <w:pStyle w:val="BodyText"/>
      </w:pPr>
      <w:r>
        <w:rPr>
          <w:i/>
          <w:iCs/>
        </w:rPr>
        <w:t xml:space="preserve">Rule: absence of evidence inside a stated boundary is a finding;</w:t>
      </w:r>
      <w:r>
        <w:rPr>
          <w:i/>
          <w:iCs/>
        </w:rPr>
        <w:t xml:space="preserve"> </w:t>
      </w:r>
      <w:r>
        <w:rPr>
          <w:i/>
          <w:iCs/>
        </w:rPr>
        <w:t xml:space="preserve">absence of evidence with no boundary is an assumption.</w:t>
      </w:r>
    </w:p>
    <w:bookmarkEnd w:id="18"/>
    <w:bookmarkStart w:id="19" w:name="X3e80f08ca8deebe6c7e10d4899f482f9fcb40a5"/>
    <w:p>
      <w:pPr>
        <w:pStyle w:val="Heading3"/>
        <w:pageBreakBefore/>
      </w:pPr>
      <w:r>
        <w:t xml:space="preserve">3.3 Composite status shorthand</w:t>
      </w:r>
    </w:p>
    <w:p>
      <w:pPr>
        <w:pStyle w:val="FirstParagraph"/>
      </w:pPr>
      <w:r>
        <w:t xml:space="preserve">A composite status is one phrase that says where the incident sits in</w:t>
      </w:r>
      <w:r>
        <w:t xml:space="preserve"> </w:t>
      </w:r>
      <w:r>
        <w:t xml:space="preserve">the lifecycle — for the subject line, status board, or first words of</w:t>
      </w:r>
      <w:r>
        <w:t xml:space="preserve"> </w:t>
      </w:r>
      <w:r>
        <w:t xml:space="preserve">the status line. It introduces the 3.1 dimensions; it never replaces</w:t>
      </w:r>
      <w:r>
        <w:t xml:space="preserve"> </w:t>
      </w:r>
      <w:r>
        <w:t xml:space="preserve">them: “Contained – Monitoring: investigation active; contained;</w:t>
      </w:r>
      <w:r>
        <w:t xml:space="preserve"> </w:t>
      </w:r>
      <w:r>
        <w:t xml:space="preserve">eradication in progress; recovery not started; residual risk Moderate.”</w:t>
      </w:r>
      <w:r>
        <w:t xml:space="preserve"> </w:t>
      </w:r>
      <w:r>
        <w:t xml:space="preserve">Each state also tells leadership what to focus on.</w:t>
      </w:r>
    </w:p>
    <w:tbl>
      <w:tblPr>
        <w:tblStyle w:val="Table"/>
        <w:tblW w:type="dxa" w:w="9360"/>
        <w:jc w:val="left"/>
        <w:tblLayout w:type="fixed"/>
        <w:tblLook w:firstRow="1" w:lastRow="0" w:firstColumn="0" w:lastColumn="0" w:noHBand="0" w:noVBand="0" w:val="0020"/>
        <w:tblInd w:w="120" w:type="dxa"/>
      </w:tblPr>
      <w:tblGrid>
        <w:gridCol w:w="3100"/>
        <w:gridCol w:w="3100"/>
        <w:gridCol w:w="3160"/>
      </w:tblGrid>
      <w:tr>
        <w:trPr>
          <w:tblHeader w:val="on"/>
          <w:tblHeader w:val="true"/>
          <w:cantSplit/>
        </w:trPr>
        <w:tc>
          <w:tcPr>
            <w:tcW w:w="3100" w:type="dxa"/>
            <w:vAlign w:val="center"/>
            <w:shd w:fill="1A2B49"/>
          </w:tcPr>
          <w:p>
            <w:pPr>
              <w:pStyle w:val="Compact"/>
              <w:spacing w:after="40"/>
            </w:pPr>
            <w:r>
              <w:rPr>
                <w:rFonts w:ascii="Calibri" w:hAnsi="Calibri"/>
                <w:b/>
                <w:bCs/>
                <w:color w:val="FFFFFF"/>
                <w:sz w:val="18"/>
              </w:rPr>
              <w:t xml:space="preserve">Composite Status</w:t>
            </w:r>
          </w:p>
        </w:tc>
        <w:tc>
          <w:tcPr>
            <w:tcW w:w="3100" w:type="dxa"/>
            <w:vAlign w:val="center"/>
            <w:shd w:fill="1A2B49"/>
          </w:tcPr>
          <w:p>
            <w:pPr>
              <w:pStyle w:val="Compact"/>
              <w:spacing w:after="40"/>
            </w:pPr>
            <w:r>
              <w:rPr>
                <w:rFonts w:ascii="Calibri" w:hAnsi="Calibri"/>
                <w:b/>
                <w:bCs/>
                <w:color w:val="FFFFFF"/>
                <w:sz w:val="18"/>
              </w:rPr>
              <w:t xml:space="preserve">Typical Dimensions</w:t>
            </w:r>
          </w:p>
        </w:tc>
        <w:tc>
          <w:tcPr>
            <w:tcW w:w="3160" w:type="dxa"/>
            <w:vAlign w:val="center"/>
            <w:shd w:fill="1A2B49"/>
          </w:tcPr>
          <w:p>
            <w:pPr>
              <w:pStyle w:val="Compact"/>
              <w:spacing w:after="40"/>
            </w:pPr>
            <w:r>
              <w:rPr>
                <w:rFonts w:ascii="Calibri" w:hAnsi="Calibri"/>
                <w:b/>
                <w:bCs/>
                <w:color w:val="FFFFFF"/>
                <w:sz w:val="18"/>
              </w:rPr>
              <w:t xml:space="preserve">Leadership Focus</w:t>
            </w:r>
          </w:p>
        </w:tc>
      </w:tr>
      <w:tr>
        <w:trPr>
          <w:cantSplit/>
        </w:trPr>
        <w:tc>
          <w:tcPr>
            <w:tcW w:w="3100" w:type="dxa"/>
            <w:vAlign w:val="center"/>
          </w:tcPr>
          <w:p>
            <w:pPr>
              <w:pStyle w:val="Compact"/>
              <w:spacing w:before="20" w:after="40" w:line="240" w:lineRule="auto"/>
            </w:pPr>
            <w:r>
              <w:rPr>
                <w:rFonts w:ascii="Calibri" w:hAnsi="Calibri"/>
                <w:b/>
                <w:bCs/>
                <w:color w:val="202A3A"/>
                <w:sz w:val="18"/>
              </w:rPr>
              <w:t xml:space="preserve">Ongoing – Active Threat</w:t>
            </w:r>
          </w:p>
        </w:tc>
        <w:tc>
          <w:tcPr>
            <w:tcW w:w="3100" w:type="dxa"/>
            <w:vAlign w:val="center"/>
          </w:tcPr>
          <w:p>
            <w:pPr>
              <w:pStyle w:val="Compact"/>
              <w:spacing w:before="20" w:after="40" w:line="240" w:lineRule="auto"/>
            </w:pPr>
            <w:r>
              <w:rPr>
                <w:rFonts w:ascii="Calibri" w:hAnsi="Calibri"/>
                <w:color w:val="202A3A"/>
                <w:sz w:val="18"/>
              </w:rPr>
              <w:t xml:space="preserve">Investigation active; not or partially contained</w:t>
            </w:r>
          </w:p>
        </w:tc>
        <w:tc>
          <w:tcPr>
            <w:tcW w:w="3160" w:type="dxa"/>
            <w:vAlign w:val="center"/>
          </w:tcPr>
          <w:p>
            <w:pPr>
              <w:pStyle w:val="Compact"/>
              <w:spacing w:before="20" w:after="40" w:line="240" w:lineRule="auto"/>
            </w:pPr>
            <w:r>
              <w:rPr>
                <w:rFonts w:ascii="Calibri" w:hAnsi="Calibri"/>
                <w:color w:val="202A3A"/>
                <w:sz w:val="18"/>
              </w:rPr>
              <w:t xml:space="preserve">Decide: isolation, shutdown, external forensics, counsel or IR retainer.</w:t>
            </w:r>
          </w:p>
        </w:tc>
      </w:tr>
      <w:tr>
        <w:trPr>
          <w:cantSplit/>
        </w:trPr>
        <w:tc>
          <w:tcPr>
            <w:tcW w:w="3100" w:type="dxa"/>
            <w:vAlign w:val="center"/>
            <w:shd w:fill="F3F5F7"/>
          </w:tcPr>
          <w:p>
            <w:pPr>
              <w:pStyle w:val="Compact"/>
              <w:spacing w:before="20" w:after="40" w:line="240" w:lineRule="auto"/>
            </w:pPr>
            <w:r>
              <w:rPr>
                <w:rFonts w:ascii="Calibri" w:hAnsi="Calibri"/>
                <w:b/>
                <w:bCs/>
                <w:color w:val="202A3A"/>
                <w:sz w:val="18"/>
              </w:rPr>
              <w:t xml:space="preserve">Contained – Monitoring</w:t>
            </w:r>
          </w:p>
        </w:tc>
        <w:tc>
          <w:tcPr>
            <w:tcW w:w="3100" w:type="dxa"/>
            <w:vAlign w:val="center"/>
            <w:shd w:fill="F3F5F7"/>
          </w:tcPr>
          <w:p>
            <w:pPr>
              <w:pStyle w:val="Compact"/>
              <w:spacing w:before="20" w:after="40" w:line="240" w:lineRule="auto"/>
            </w:pPr>
            <w:r>
              <w:rPr>
                <w:rFonts w:ascii="Calibri" w:hAnsi="Calibri"/>
                <w:color w:val="202A3A"/>
                <w:sz w:val="18"/>
              </w:rPr>
              <w:t xml:space="preserve">Contained; eradication and recovery incomplete</w:t>
            </w:r>
          </w:p>
        </w:tc>
        <w:tc>
          <w:tcPr>
            <w:tcW w:w="3160" w:type="dxa"/>
            <w:vAlign w:val="center"/>
            <w:shd w:fill="F3F5F7"/>
          </w:tcPr>
          <w:p>
            <w:pPr>
              <w:pStyle w:val="Compact"/>
              <w:spacing w:before="20" w:after="40" w:line="240" w:lineRule="auto"/>
            </w:pPr>
            <w:r>
              <w:rPr>
                <w:rFonts w:ascii="Calibri" w:hAnsi="Calibri"/>
                <w:color w:val="202A3A"/>
                <w:sz w:val="18"/>
              </w:rPr>
              <w:t xml:space="preserve">Risk persists; recovery timeline uncertain.</w:t>
            </w:r>
          </w:p>
        </w:tc>
      </w:tr>
      <w:tr>
        <w:trPr>
          <w:cantSplit/>
        </w:trPr>
        <w:tc>
          <w:tcPr>
            <w:tcW w:w="3100" w:type="dxa"/>
            <w:vAlign w:val="center"/>
          </w:tcPr>
          <w:p>
            <w:pPr>
              <w:pStyle w:val="Compact"/>
              <w:spacing w:before="20" w:after="40" w:line="240" w:lineRule="auto"/>
            </w:pPr>
            <w:r>
              <w:rPr>
                <w:rFonts w:ascii="Calibri" w:hAnsi="Calibri"/>
                <w:b/>
                <w:bCs/>
                <w:color w:val="202A3A"/>
                <w:sz w:val="18"/>
              </w:rPr>
              <w:t xml:space="preserve">Eradicated – Recovering</w:t>
            </w:r>
          </w:p>
        </w:tc>
        <w:tc>
          <w:tcPr>
            <w:tcW w:w="3100" w:type="dxa"/>
            <w:vAlign w:val="center"/>
          </w:tcPr>
          <w:p>
            <w:pPr>
              <w:pStyle w:val="Compact"/>
              <w:spacing w:before="20" w:after="40" w:line="240" w:lineRule="auto"/>
            </w:pPr>
            <w:r>
              <w:rPr>
                <w:rFonts w:ascii="Calibri" w:hAnsi="Calibri"/>
                <w:color w:val="202A3A"/>
                <w:sz w:val="18"/>
              </w:rPr>
              <w:t xml:space="preserve">Eradication complete; recovery in progress</w:t>
            </w:r>
          </w:p>
        </w:tc>
        <w:tc>
          <w:tcPr>
            <w:tcW w:w="3160" w:type="dxa"/>
            <w:vAlign w:val="center"/>
          </w:tcPr>
          <w:p>
            <w:pPr>
              <w:pStyle w:val="Compact"/>
              <w:spacing w:before="20" w:after="40" w:line="240" w:lineRule="auto"/>
            </w:pPr>
            <w:r>
              <w:rPr>
                <w:rFonts w:ascii="Calibri" w:hAnsi="Calibri"/>
                <w:color w:val="202A3A"/>
                <w:sz w:val="18"/>
              </w:rPr>
              <w:t xml:space="preserve">Recovery progress, residual data risk, business-owner validation.</w:t>
            </w:r>
          </w:p>
        </w:tc>
      </w:tr>
      <w:tr>
        <w:trPr>
          <w:cantSplit/>
        </w:trPr>
        <w:tc>
          <w:tcPr>
            <w:tcW w:w="3100" w:type="dxa"/>
            <w:vAlign w:val="center"/>
            <w:shd w:fill="F3F5F7"/>
          </w:tcPr>
          <w:p>
            <w:pPr>
              <w:pStyle w:val="Compact"/>
              <w:spacing w:before="20" w:after="40" w:line="240" w:lineRule="auto"/>
            </w:pPr>
            <w:r>
              <w:rPr>
                <w:rFonts w:ascii="Calibri" w:hAnsi="Calibri"/>
                <w:b/>
                <w:bCs/>
                <w:color w:val="202A3A"/>
                <w:sz w:val="18"/>
              </w:rPr>
              <w:t xml:space="preserve">Resolved – Post-Incident</w:t>
            </w:r>
          </w:p>
        </w:tc>
        <w:tc>
          <w:tcPr>
            <w:tcW w:w="3100" w:type="dxa"/>
            <w:vAlign w:val="center"/>
            <w:shd w:fill="F3F5F7"/>
          </w:tcPr>
          <w:p>
            <w:pPr>
              <w:pStyle w:val="Compact"/>
              <w:spacing w:before="20" w:after="40" w:line="240" w:lineRule="auto"/>
            </w:pPr>
            <w:r>
              <w:rPr>
                <w:rFonts w:ascii="Calibri" w:hAnsi="Calibri"/>
                <w:color w:val="202A3A"/>
                <w:sz w:val="18"/>
              </w:rPr>
              <w:t xml:space="preserve">Investigation closed; recovery validated</w:t>
            </w:r>
          </w:p>
        </w:tc>
        <w:tc>
          <w:tcPr>
            <w:tcW w:w="3160" w:type="dxa"/>
            <w:vAlign w:val="center"/>
            <w:shd w:fill="F3F5F7"/>
          </w:tcPr>
          <w:p>
            <w:pPr>
              <w:pStyle w:val="Compact"/>
              <w:spacing w:before="20" w:after="40" w:line="240" w:lineRule="auto"/>
            </w:pPr>
            <w:r>
              <w:rPr>
                <w:rFonts w:ascii="Calibri" w:hAnsi="Calibri"/>
                <w:color w:val="202A3A"/>
                <w:sz w:val="18"/>
              </w:rPr>
              <w:t xml:space="preserve">Root cause, lessons learned, control improvements, risk register.</w:t>
            </w:r>
          </w:p>
        </w:tc>
      </w:tr>
    </w:tbl>
    <w:p>
      <w:pPr>
        <w:pStyle w:val="BodyText"/>
      </w:pPr>
      <w:r>
        <w:rPr>
          <w:i/>
          <w:iCs/>
        </w:rPr>
        <w:t xml:space="preserve">Source: the four states follow the NIST SP 800-61 Rev. 2 lifecycle</w:t>
      </w:r>
      <w:r>
        <w:rPr>
          <w:i/>
          <w:iCs/>
        </w:rPr>
        <w:t xml:space="preserve"> </w:t>
      </w:r>
      <w:r>
        <w:rPr>
          <w:i/>
          <w:iCs/>
        </w:rPr>
        <w:t xml:space="preserve">(Detection and Analysis; Containment, Eradication, and Recovery;</w:t>
      </w:r>
      <w:r>
        <w:rPr>
          <w:i/>
          <w:iCs/>
        </w:rPr>
        <w:t xml:space="preserve"> </w:t>
      </w:r>
      <w:r>
        <w:rPr>
          <w:i/>
          <w:iCs/>
        </w:rPr>
        <w:t xml:space="preserve">Post-Incident Activity) as carried into Rev. 3 and the CSF 2.0 Respond</w:t>
      </w:r>
      <w:r>
        <w:rPr>
          <w:i/>
          <w:iCs/>
        </w:rPr>
        <w:t xml:space="preserve"> </w:t>
      </w:r>
      <w:r>
        <w:rPr>
          <w:i/>
          <w:iCs/>
        </w:rPr>
        <w:t xml:space="preserve">and Recover Functions. State names and the Leadership Focus column are</w:t>
      </w:r>
      <w:r>
        <w:rPr>
          <w:i/>
          <w:iCs/>
        </w:rPr>
        <w:t xml:space="preserve"> </w:t>
      </w:r>
      <w:r>
        <w:rPr>
          <w:i/>
          <w:iCs/>
        </w:rPr>
        <w:t xml:space="preserve">Kalos conventions; use the IR plan’s approved terms where defined.</w:t>
      </w:r>
    </w:p>
    <w:bookmarkEnd w:id="19"/>
    <w:bookmarkEnd w:id="20"/>
    <w:bookmarkStart w:id="21" w:name="X8ed7edc22056ef3bd4e4f053a06b5e53f0f71ba"/>
    <w:p>
      <w:pPr>
        <w:pStyle w:val="Heading2"/>
      </w:pPr>
      <w:r>
        <w:t xml:space="preserve">4. Severity and Impact Scale</w:t>
      </w:r>
    </w:p>
    <w:tbl>
      <w:tblPr>
        <w:tblStyle w:val="Table"/>
        <w:tblW w:type="dxa" w:w="9360"/>
        <w:jc w:val="left"/>
        <w:tblLayout w:type="fixed"/>
        <w:tblLook w:firstRow="1" w:lastRow="0" w:firstColumn="0" w:lastColumn="0" w:noHBand="0" w:noVBand="0" w:val="0020"/>
        <w:tblInd w:w="120" w:type="dxa"/>
      </w:tblPr>
      <w:tblGrid>
        <w:gridCol w:w="2700"/>
        <w:gridCol w:w="6660"/>
      </w:tblGrid>
      <w:tr>
        <w:trPr>
          <w:tblHeader w:val="on"/>
          <w:tblHeader w:val="true"/>
          <w:cantSplit/>
        </w:trPr>
        <w:tc>
          <w:tcPr>
            <w:tcW w:w="2700" w:type="dxa"/>
            <w:vAlign w:val="center"/>
            <w:shd w:fill="1A2B49"/>
          </w:tcPr>
          <w:p>
            <w:pPr>
              <w:pStyle w:val="Compact"/>
              <w:spacing w:after="40"/>
            </w:pPr>
            <w:r>
              <w:rPr>
                <w:rFonts w:ascii="Calibri" w:hAnsi="Calibri"/>
                <w:b/>
                <w:bCs/>
                <w:color w:val="FFFFFF"/>
                <w:sz w:val="18"/>
              </w:rPr>
              <w:t xml:space="preserve">Axis</w:t>
            </w:r>
          </w:p>
        </w:tc>
        <w:tc>
          <w:tcPr>
            <w:tcW w:w="6660" w:type="dxa"/>
            <w:vAlign w:val="center"/>
            <w:shd w:fill="1A2B49"/>
          </w:tcPr>
          <w:p>
            <w:pPr>
              <w:pStyle w:val="Compact"/>
              <w:spacing w:after="40"/>
            </w:pPr>
            <w:r>
              <w:rPr>
                <w:rFonts w:ascii="Calibri" w:hAnsi="Calibri"/>
                <w:b/>
                <w:bCs/>
                <w:color w:val="FFFFFF"/>
                <w:sz w:val="18"/>
              </w:rPr>
              <w:t xml:space="preserve">Levels</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Functional</w:t>
            </w:r>
          </w:p>
        </w:tc>
        <w:tc>
          <w:tcPr>
            <w:tcW w:w="6660" w:type="dxa"/>
            <w:vAlign w:val="center"/>
          </w:tcPr>
          <w:p>
            <w:pPr>
              <w:pStyle w:val="Compact"/>
              <w:spacing w:before="20" w:after="40" w:line="240" w:lineRule="auto"/>
            </w:pPr>
            <w:r>
              <w:rPr>
                <w:rFonts w:ascii="Calibri" w:hAnsi="Calibri"/>
                <w:color w:val="202A3A"/>
                <w:sz w:val="18"/>
              </w:rPr>
              <w:t xml:space="preserve">None · Low (minor efficiency loss) · Medium (critical service lost for some users) · High (critical service lost for all users)</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Information</w:t>
            </w:r>
          </w:p>
        </w:tc>
        <w:tc>
          <w:tcPr>
            <w:tcW w:w="6660" w:type="dxa"/>
            <w:vAlign w:val="center"/>
            <w:shd w:fill="F3F5F7"/>
          </w:tcPr>
          <w:p>
            <w:pPr>
              <w:pStyle w:val="Compact"/>
              <w:spacing w:before="20" w:after="40" w:line="240" w:lineRule="auto"/>
            </w:pPr>
            <w:r>
              <w:rPr>
                <w:rFonts w:ascii="Calibri" w:hAnsi="Calibri"/>
                <w:color w:val="202A3A"/>
                <w:sz w:val="18"/>
              </w:rPr>
              <w:t xml:space="preserve">None · Privacy breach (PII) · Proprietary breach · Integrity loss (data altered or destroyed)</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Recoverability</w:t>
            </w:r>
          </w:p>
        </w:tc>
        <w:tc>
          <w:tcPr>
            <w:tcW w:w="6660" w:type="dxa"/>
            <w:vAlign w:val="center"/>
          </w:tcPr>
          <w:p>
            <w:pPr>
              <w:pStyle w:val="Compact"/>
              <w:spacing w:before="20" w:after="40" w:line="240" w:lineRule="auto"/>
            </w:pPr>
            <w:r>
              <w:rPr>
                <w:rFonts w:ascii="Calibri" w:hAnsi="Calibri"/>
                <w:color w:val="202A3A"/>
                <w:sz w:val="18"/>
              </w:rPr>
              <w:t xml:space="preserve">Regular (existing resources) · Supplemented (added resources) · Extended (outside help, unpredictable) · Not recoverable</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Overall Severity</w:t>
            </w:r>
          </w:p>
        </w:tc>
        <w:tc>
          <w:tcPr>
            <w:tcW w:w="6660" w:type="dxa"/>
            <w:vAlign w:val="center"/>
            <w:shd w:fill="F3F5F7"/>
          </w:tcPr>
          <w:p>
            <w:pPr>
              <w:pStyle w:val="Compact"/>
              <w:spacing w:before="20" w:after="40" w:line="240" w:lineRule="auto"/>
            </w:pPr>
            <w:r>
              <w:rPr>
                <w:rFonts w:ascii="Calibri" w:hAnsi="Calibri"/>
                <w:color w:val="202A3A"/>
                <w:sz w:val="18"/>
              </w:rPr>
              <w:t xml:space="preserve">High / Medium / Low — the worst of the three axes; or CISA NCISS when federal partners are involved</w:t>
            </w:r>
          </w:p>
        </w:tc>
      </w:tr>
    </w:tbl>
    <w:p>
      <w:pPr>
        <w:pStyle w:val="BodyText"/>
      </w:pPr>
      <w:r>
        <w:rPr>
          <w:i/>
          <w:iCs/>
        </w:rPr>
        <w:t xml:space="preserve">Default scale: NIST SP 800-61 Rev. 2 §3.2.6 (Tables 3-2 to 3-4). Pick</w:t>
      </w:r>
      <w:r>
        <w:rPr>
          <w:i/>
          <w:iCs/>
        </w:rPr>
        <w:t xml:space="preserve"> </w:t>
      </w:r>
      <w:r>
        <w:rPr>
          <w:i/>
          <w:iCs/>
        </w:rPr>
        <w:t xml:space="preserve">one scale, define it in the IR plan, and use it on every incident so</w:t>
      </w:r>
      <w:r>
        <w:rPr>
          <w:i/>
          <w:iCs/>
        </w:rPr>
        <w:t xml:space="preserve"> </w:t>
      </w:r>
      <w:r>
        <w:rPr>
          <w:i/>
          <w:iCs/>
        </w:rPr>
        <w:t xml:space="preserve">incidents are comparable across quarters.</w:t>
      </w:r>
    </w:p>
    <w:bookmarkEnd w:id="21"/>
    <w:bookmarkStart w:id="22" w:name="Xaf85834252001219e15d797874565c3dee6ac65"/>
    <w:p>
      <w:pPr>
        <w:pStyle w:val="Heading2"/>
      </w:pPr>
      <w:r>
        <w:t xml:space="preserve">5. Governance and Disclosure Checkpoints</w:t>
      </w:r>
    </w:p>
    <w:tbl>
      <w:tblPr>
        <w:tblStyle w:val="Table"/>
        <w:tblW w:type="dxa" w:w="9360"/>
        <w:jc w:val="left"/>
        <w:tblLayout w:type="fixed"/>
        <w:tblLook w:firstRow="1" w:lastRow="0" w:firstColumn="0" w:lastColumn="0" w:noHBand="0" w:noVBand="0" w:val="0020"/>
        <w:tblInd w:w="120" w:type="dxa"/>
      </w:tblPr>
      <w:tblGrid>
        <w:gridCol w:w="2700"/>
        <w:gridCol w:w="6660"/>
      </w:tblGrid>
      <w:tr>
        <w:trPr>
          <w:tblHeader w:val="on"/>
          <w:tblHeader w:val="true"/>
          <w:cantSplit/>
        </w:trPr>
        <w:tc>
          <w:tcPr>
            <w:tcW w:w="2700" w:type="dxa"/>
            <w:vAlign w:val="center"/>
            <w:shd w:fill="1A2B49"/>
          </w:tcPr>
          <w:p>
            <w:pPr>
              <w:pStyle w:val="Compact"/>
              <w:spacing w:after="40"/>
            </w:pPr>
            <w:r>
              <w:rPr>
                <w:rFonts w:ascii="Calibri" w:hAnsi="Calibri"/>
                <w:b/>
                <w:bCs/>
                <w:color w:val="FFFFFF"/>
                <w:sz w:val="18"/>
              </w:rPr>
              <w:t xml:space="preserve">Question</w:t>
            </w:r>
          </w:p>
        </w:tc>
        <w:tc>
          <w:tcPr>
            <w:tcW w:w="6660" w:type="dxa"/>
            <w:vAlign w:val="center"/>
            <w:shd w:fill="1A2B49"/>
          </w:tcPr>
          <w:p>
            <w:pPr>
              <w:pStyle w:val="Compact"/>
              <w:spacing w:after="40"/>
            </w:pPr>
            <w:r>
              <w:rPr>
                <w:rFonts w:ascii="Calibri" w:hAnsi="Calibri"/>
                <w:b/>
                <w:bCs/>
                <w:color w:val="FFFFFF"/>
                <w:sz w:val="18"/>
              </w:rPr>
              <w:t xml:space="preserve">Record</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Crosses a board or executive escalation threshold?</w:t>
            </w:r>
          </w:p>
        </w:tc>
        <w:tc>
          <w:tcPr>
            <w:tcW w:w="6660" w:type="dxa"/>
            <w:vAlign w:val="center"/>
          </w:tcPr>
          <w:p>
            <w:pPr>
              <w:pStyle w:val="Compact"/>
              <w:spacing w:before="20" w:after="40" w:line="240" w:lineRule="auto"/>
            </w:pPr>
            <w:r>
              <w:rPr>
                <w:rFonts w:ascii="Calibri" w:hAnsi="Calibri"/>
                <w:color w:val="202A3A"/>
                <w:sz w:val="18"/>
              </w:rPr>
              <w:t xml:space="preserve">Yes / No / Under review</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Regulatory disclosure status (SEC 8-K Item 1.05, GDPR Art. 33, HIPAA, state law, sector rule)?</w:t>
            </w:r>
          </w:p>
        </w:tc>
        <w:tc>
          <w:tcPr>
            <w:tcW w:w="6660" w:type="dxa"/>
            <w:vAlign w:val="center"/>
            <w:shd w:fill="F3F5F7"/>
          </w:tcPr>
          <w:p>
            <w:pPr>
              <w:pStyle w:val="Compact"/>
              <w:spacing w:before="20" w:after="40" w:line="240" w:lineRule="auto"/>
            </w:pPr>
            <w:r>
              <w:rPr>
                <w:rFonts w:ascii="Calibri" w:hAnsi="Calibri"/>
                <w:color w:val="202A3A"/>
                <w:sz w:val="18"/>
              </w:rPr>
              <w:t xml:space="preserve">Determined / In progress / Ruled out</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Any statutory, contractual, insurance, or customer notification clock running?</w:t>
            </w:r>
          </w:p>
        </w:tc>
        <w:tc>
          <w:tcPr>
            <w:tcW w:w="6660" w:type="dxa"/>
            <w:vAlign w:val="center"/>
          </w:tcPr>
          <w:p>
            <w:pPr>
              <w:pStyle w:val="Compact"/>
              <w:spacing w:before="20" w:after="40" w:line="240" w:lineRule="auto"/>
            </w:pPr>
            <w:r>
              <w:rPr>
                <w:rFonts w:ascii="Calibri" w:hAnsi="Calibri"/>
                <w:color w:val="202A3A"/>
                <w:sz w:val="18"/>
              </w:rPr>
              <w:t xml:space="preserve">Trigger event, owner, deadline, approval authority</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Counsel engaged? Work directed by counsel?</w:t>
            </w:r>
          </w:p>
        </w:tc>
        <w:tc>
          <w:tcPr>
            <w:tcW w:w="6660" w:type="dxa"/>
            <w:vAlign w:val="center"/>
            <w:shd w:fill="F3F5F7"/>
          </w:tcPr>
          <w:p>
            <w:pPr>
              <w:pStyle w:val="Compact"/>
              <w:spacing w:before="20" w:after="40" w:line="240" w:lineRule="auto"/>
            </w:pPr>
            <w:r>
              <w:rPr>
                <w:rFonts w:ascii="Calibri" w:hAnsi="Calibri"/>
                <w:color w:val="202A3A"/>
                <w:sz w:val="18"/>
              </w:rPr>
              <w:t xml:space="preserve">Privilege only when counsel directs the work — not because counsel was copied</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Handling marking correct?</w:t>
            </w:r>
          </w:p>
        </w:tc>
        <w:tc>
          <w:tcPr>
            <w:tcW w:w="6660" w:type="dxa"/>
            <w:vAlign w:val="center"/>
          </w:tcPr>
          <w:p>
            <w:pPr>
              <w:pStyle w:val="Compact"/>
              <w:spacing w:before="20" w:after="40" w:line="240" w:lineRule="auto"/>
            </w:pPr>
            <w:r>
              <w:rPr>
                <w:rFonts w:ascii="Calibri" w:hAnsi="Calibri"/>
                <w:color w:val="202A3A"/>
                <w:sz w:val="18"/>
              </w:rPr>
              <w:t xml:space="preserve">TLP governs sharing; it is not privilege or classification</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Legal, privacy, compliance, insurer, public affairs, law enforcement, third parties notified?</w:t>
            </w:r>
          </w:p>
        </w:tc>
        <w:tc>
          <w:tcPr>
            <w:tcW w:w="6660" w:type="dxa"/>
            <w:vAlign w:val="center"/>
            <w:shd w:fill="F3F5F7"/>
          </w:tcPr>
          <w:p>
            <w:pPr>
              <w:pStyle w:val="Compact"/>
              <w:spacing w:before="20" w:after="40" w:line="240" w:lineRule="auto"/>
            </w:pPr>
            <w:r>
              <w:rPr>
                <w:rFonts w:ascii="Calibri" w:hAnsi="Calibri"/>
                <w:color w:val="202A3A"/>
                <w:sz w:val="18"/>
              </w:rPr>
              <w:t xml:space="preserve">Date each</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Risk register update or accountability gap? Post-incident review scheduled?</w:t>
            </w:r>
          </w:p>
        </w:tc>
        <w:tc>
          <w:tcPr>
            <w:tcW w:w="6660" w:type="dxa"/>
            <w:vAlign w:val="center"/>
          </w:tcPr>
          <w:p>
            <w:pPr>
              <w:pStyle w:val="Compact"/>
              <w:spacing w:before="20" w:after="40" w:line="240" w:lineRule="auto"/>
            </w:pPr>
            <w:r>
              <w:rPr>
                <w:rFonts w:ascii="Calibri" w:hAnsi="Calibri"/>
                <w:color w:val="202A3A"/>
                <w:sz w:val="18"/>
              </w:rPr>
              <w:t xml:space="preserve">Yes / No; date and owner</w:t>
            </w:r>
          </w:p>
        </w:tc>
      </w:tr>
    </w:tbl>
    <w:bookmarkEnd w:id="22"/>
    <w:bookmarkStart w:id="23" w:name="X557deece7a58775e8696754d4587ae6de582b30"/>
    <w:p>
      <w:pPr>
        <w:pStyle w:val="Heading2"/>
        <w:pageBreakBefore/>
      </w:pPr>
      <w:r>
        <w:t xml:space="preserve">6. Pre-Send Checklist</w:t>
      </w:r>
    </w:p>
    <w:p>
      <w:pPr>
        <w:pStyle w:val="FirstParagraph"/>
      </w:pPr>
      <w:r>
        <w:rPr>
          <w:i/>
          <w:iCs/>
        </w:rPr>
        <w:t xml:space="preserve">Incident ID: ____________ Version: ____ Analyst:</w:t>
      </w:r>
      <w:r>
        <w:rPr>
          <w:i/>
          <w:iCs/>
        </w:rPr>
        <w:t xml:space="preserve"> </w:t>
      </w:r>
      <w:r>
        <w:rPr>
          <w:i/>
          <w:iCs/>
        </w:rPr>
        <w:t xml:space="preserve">________________ Date/time (UTC):</w:t>
      </w:r>
      <w:r>
        <w:rPr>
          <w:i/>
          <w:iCs/>
        </w:rPr>
        <w:t xml:space="preserve"> </w:t>
      </w:r>
      <w:r>
        <w:rPr>
          <w:i/>
          <w:iCs/>
        </w:rPr>
        <w:t xml:space="preserve">____________</w:t>
      </w:r>
    </w:p>
    <w:tbl>
      <w:tblPr>
        <w:tblStyle w:val="Table"/>
        <w:tblW w:type="dxa" w:w="9360"/>
        <w:tblLayout w:type="fixed"/>
        <w:tblLook w:firstRow="1" w:lastRow="0" w:firstColumn="0" w:lastColumn="0" w:noHBand="0" w:noVBand="0" w:val="0020"/>
        <w:jc w:val="left"/>
        <w:tblInd w:w="120" w:type="dxa"/>
      </w:tblPr>
      <w:tblGrid>
        <w:gridCol w:w="650"/>
        <w:gridCol w:w="8710"/>
      </w:tblGrid>
      <w:tr>
        <w:trPr>
          <w:tblHeader w:val="on"/>
          <w:tblHeader w:val="true"/>
          <w:cantSplit/>
        </w:trPr>
        <w:tc>
          <w:tcPr>
            <w:tcW w:w="650" w:type="dxa"/>
            <w:vAlign w:val="center"/>
            <w:shd w:fill="1A2B49"/>
          </w:tcPr>
          <w:p>
            <w:pPr>
              <w:pStyle w:val="Compact"/>
              <w:spacing w:after="40"/>
            </w:pPr>
            <w:r>
              <w:rPr>
                <w:rFonts w:ascii="Calibri" w:hAnsi="Calibri"/>
                <w:b/>
                <w:color w:val="FFFFFF"/>
                <w:sz w:val="18"/>
              </w:rPr>
              <w:t xml:space="preserve">Done</w:t>
            </w:r>
          </w:p>
        </w:tc>
        <w:tc>
          <w:tcPr>
            <w:tcW w:w="8710" w:type="dxa"/>
            <w:vAlign w:val="center"/>
            <w:shd w:fill="1A2B49"/>
          </w:tcPr>
          <w:p>
            <w:pPr>
              <w:pStyle w:val="Compact"/>
              <w:spacing w:after="40"/>
            </w:pPr>
            <w:r>
              <w:rPr>
                <w:rFonts w:ascii="Calibri" w:hAnsi="Calibri"/>
                <w:b/>
                <w:color w:val="FFFFFF"/>
                <w:sz w:val="18"/>
              </w:rPr>
              <w:t xml:space="preserve">Requirement</w:t>
            </w:r>
          </w:p>
        </w:tc>
      </w:tr>
      <w:tr>
        <w:trPr>
          <w:cantSplit/>
        </w:trPr>
        <w:tc>
          <w:tcPr>
            <w:tcW w:w="650" w:type="dxa"/>
            <w:vAlign w:val="center"/>
          </w:tcPr>
          <w:p>
            <w:pPr>
              <w:pStyle w:val="Compact"/>
              <w:spacing w:before="20" w:after="40" w:line="240" w:lineRule="auto"/>
            </w:pPr>
            <w:r>
              <w:rPr>
                <w:rFonts w:ascii="Calibri" w:hAnsi="Calibri"/>
                <w:color w:val="202A3A"/>
                <w:sz w:val="18"/>
              </w:rPr>
              <w:t xml:space="preserve">☐</w:t>
            </w:r>
          </w:p>
        </w:tc>
        <w:tc>
          <w:tcPr>
            <w:tcW w:w="8710" w:type="dxa"/>
            <w:vAlign w:val="center"/>
          </w:tcPr>
          <w:p>
            <w:pPr>
              <w:pStyle w:val="Compact"/>
              <w:spacing w:before="20" w:after="40" w:line="240" w:lineRule="auto"/>
            </w:pPr>
            <w:r>
              <w:rPr>
                <w:rFonts w:ascii="Calibri" w:hAnsi="Calibri"/>
                <w:color w:val="202A3A"/>
                <w:sz w:val="18"/>
              </w:rPr>
              <w:t xml:space="preserve">Context line complete: ID, severity, owners, as-of time with zone, version, TLP, privilege, next update</w:t>
            </w:r>
          </w:p>
        </w:tc>
      </w:tr>
      <w:tr>
        <w:trPr>
          <w:cantSplit/>
        </w:trPr>
        <w:tc>
          <w:tcPr>
            <w:tcW w:w="650" w:type="dxa"/>
            <w:vAlign w:val="center"/>
            <w:shd w:fill="F3F5F7"/>
          </w:tcPr>
          <w:p>
            <w:pPr>
              <w:pStyle w:val="Compact"/>
              <w:spacing w:before="20" w:after="40" w:line="240" w:lineRule="auto"/>
            </w:pPr>
            <w:r>
              <w:rPr>
                <w:rFonts w:ascii="Calibri" w:hAnsi="Calibri"/>
                <w:color w:val="202A3A"/>
                <w:sz w:val="18"/>
              </w:rPr>
              <w:t xml:space="preserve">☐</w:t>
            </w:r>
          </w:p>
        </w:tc>
        <w:tc>
          <w:tcPr>
            <w:tcW w:w="8710" w:type="dxa"/>
            <w:vAlign w:val="center"/>
            <w:shd w:fill="F3F5F7"/>
          </w:tcPr>
          <w:p>
            <w:pPr>
              <w:pStyle w:val="Compact"/>
              <w:spacing w:before="20" w:after="40" w:line="240" w:lineRule="auto"/>
            </w:pPr>
            <w:r>
              <w:rPr>
                <w:rFonts w:ascii="Calibri" w:hAnsi="Calibri"/>
                <w:color w:val="202A3A"/>
                <w:sz w:val="18"/>
              </w:rPr>
              <w:t xml:space="preserve">Two-line test passes; incident type named</w:t>
            </w:r>
          </w:p>
        </w:tc>
      </w:tr>
      <w:tr>
        <w:trPr>
          <w:cantSplit/>
        </w:trPr>
        <w:tc>
          <w:tcPr>
            <w:tcW w:w="650" w:type="dxa"/>
            <w:vAlign w:val="center"/>
          </w:tcPr>
          <w:p>
            <w:pPr>
              <w:pStyle w:val="Compact"/>
              <w:spacing w:before="20" w:after="40" w:line="240" w:lineRule="auto"/>
            </w:pPr>
            <w:r>
              <w:rPr>
                <w:rFonts w:ascii="Calibri" w:hAnsi="Calibri"/>
                <w:color w:val="202A3A"/>
                <w:sz w:val="18"/>
              </w:rPr>
              <w:t xml:space="preserve">☐</w:t>
            </w:r>
          </w:p>
        </w:tc>
        <w:tc>
          <w:tcPr>
            <w:tcW w:w="8710" w:type="dxa"/>
            <w:vAlign w:val="center"/>
          </w:tcPr>
          <w:p>
            <w:pPr>
              <w:pStyle w:val="Compact"/>
              <w:spacing w:before="20" w:after="40" w:line="240" w:lineRule="auto"/>
            </w:pPr>
            <w:r>
              <w:rPr>
                <w:rFonts w:ascii="Calibri" w:hAnsi="Calibri"/>
                <w:color w:val="202A3A"/>
                <w:sz w:val="18"/>
              </w:rPr>
              <w:t xml:space="preserve">Severity on the defined scale; risk statement is one sentence</w:t>
            </w:r>
          </w:p>
        </w:tc>
      </w:tr>
      <w:tr>
        <w:trPr>
          <w:cantSplit/>
        </w:trPr>
        <w:tc>
          <w:tcPr>
            <w:tcW w:w="650" w:type="dxa"/>
            <w:vAlign w:val="center"/>
            <w:shd w:fill="F3F5F7"/>
          </w:tcPr>
          <w:p>
            <w:pPr>
              <w:pStyle w:val="Compact"/>
              <w:spacing w:before="20" w:after="40" w:line="240" w:lineRule="auto"/>
            </w:pPr>
            <w:r>
              <w:rPr>
                <w:rFonts w:ascii="Calibri" w:hAnsi="Calibri"/>
                <w:color w:val="202A3A"/>
                <w:sz w:val="18"/>
              </w:rPr>
              <w:t xml:space="preserve">☐</w:t>
            </w:r>
          </w:p>
        </w:tc>
        <w:tc>
          <w:tcPr>
            <w:tcW w:w="8710" w:type="dxa"/>
            <w:vAlign w:val="center"/>
            <w:shd w:fill="F3F5F7"/>
          </w:tcPr>
          <w:p>
            <w:pPr>
              <w:pStyle w:val="Compact"/>
              <w:spacing w:before="20" w:after="40" w:line="240" w:lineRule="auto"/>
            </w:pPr>
            <w:r>
              <w:rPr>
                <w:rFonts w:ascii="Calibri" w:hAnsi="Calibri"/>
                <w:color w:val="202A3A"/>
                <w:sz w:val="18"/>
              </w:rPr>
              <w:t xml:space="preserve">Investigation, containment, eradication, recovery, residual risk stated separately; change since last version named</w:t>
            </w:r>
          </w:p>
        </w:tc>
      </w:tr>
      <w:tr>
        <w:trPr>
          <w:cantSplit/>
        </w:trPr>
        <w:tc>
          <w:tcPr>
            <w:tcW w:w="650" w:type="dxa"/>
            <w:vAlign w:val="center"/>
          </w:tcPr>
          <w:p>
            <w:pPr>
              <w:pStyle w:val="Compact"/>
              <w:spacing w:before="20" w:after="40" w:line="240" w:lineRule="auto"/>
            </w:pPr>
            <w:r>
              <w:rPr>
                <w:rFonts w:ascii="Calibri" w:hAnsi="Calibri"/>
                <w:color w:val="202A3A"/>
                <w:sz w:val="18"/>
              </w:rPr>
              <w:t xml:space="preserve">☐</w:t>
            </w:r>
          </w:p>
        </w:tc>
        <w:tc>
          <w:tcPr>
            <w:tcW w:w="8710" w:type="dxa"/>
            <w:vAlign w:val="center"/>
          </w:tcPr>
          <w:p>
            <w:pPr>
              <w:pStyle w:val="Compact"/>
              <w:spacing w:before="20" w:after="40" w:line="240" w:lineRule="auto"/>
            </w:pPr>
            <w:r>
              <w:rPr>
                <w:rFonts w:ascii="Calibri" w:hAnsi="Calibri"/>
                <w:color w:val="202A3A"/>
                <w:sz w:val="18"/>
              </w:rPr>
              <w:t xml:space="preserve">Every fact labeled; every judgment has a confidence; every “no evidence” claim is bounded</w:t>
            </w:r>
          </w:p>
        </w:tc>
      </w:tr>
      <w:tr>
        <w:trPr>
          <w:cantSplit/>
        </w:trPr>
        <w:tc>
          <w:tcPr>
            <w:tcW w:w="650" w:type="dxa"/>
            <w:vAlign w:val="center"/>
            <w:shd w:fill="F3F5F7"/>
          </w:tcPr>
          <w:p>
            <w:pPr>
              <w:pStyle w:val="Compact"/>
              <w:spacing w:before="20" w:after="40" w:line="240" w:lineRule="auto"/>
            </w:pPr>
            <w:r>
              <w:rPr>
                <w:rFonts w:ascii="Calibri" w:hAnsi="Calibri"/>
                <w:color w:val="202A3A"/>
                <w:sz w:val="18"/>
              </w:rPr>
              <w:t xml:space="preserve">☐</w:t>
            </w:r>
          </w:p>
        </w:tc>
        <w:tc>
          <w:tcPr>
            <w:tcW w:w="8710" w:type="dxa"/>
            <w:vAlign w:val="center"/>
            <w:shd w:fill="F3F5F7"/>
          </w:tcPr>
          <w:p>
            <w:pPr>
              <w:pStyle w:val="Compact"/>
              <w:spacing w:before="20" w:after="40" w:line="240" w:lineRule="auto"/>
            </w:pPr>
            <w:r>
              <w:rPr>
                <w:rFonts w:ascii="Calibri" w:hAnsi="Calibri"/>
                <w:color w:val="202A3A"/>
                <w:sz w:val="18"/>
              </w:rPr>
              <w:t xml:space="preserve">Counts have denominators or say why the total is unknown</w:t>
            </w:r>
          </w:p>
        </w:tc>
      </w:tr>
      <w:tr>
        <w:trPr>
          <w:cantSplit/>
        </w:trPr>
        <w:tc>
          <w:tcPr>
            <w:tcW w:w="650" w:type="dxa"/>
            <w:vAlign w:val="center"/>
          </w:tcPr>
          <w:p>
            <w:pPr>
              <w:pStyle w:val="Compact"/>
              <w:spacing w:before="20" w:after="40" w:line="240" w:lineRule="auto"/>
            </w:pPr>
            <w:r>
              <w:rPr>
                <w:rFonts w:ascii="Calibri" w:hAnsi="Calibri"/>
                <w:color w:val="202A3A"/>
                <w:sz w:val="18"/>
              </w:rPr>
              <w:t xml:space="preserve">☐</w:t>
            </w:r>
          </w:p>
        </w:tc>
        <w:tc>
          <w:tcPr>
            <w:tcW w:w="8710" w:type="dxa"/>
            <w:vAlign w:val="center"/>
          </w:tcPr>
          <w:p>
            <w:pPr>
              <w:pStyle w:val="Compact"/>
              <w:spacing w:before="20" w:after="40" w:line="240" w:lineRule="auto"/>
            </w:pPr>
            <w:r>
              <w:rPr>
                <w:rFonts w:ascii="Calibri" w:hAnsi="Calibri"/>
                <w:color w:val="202A3A"/>
                <w:sz w:val="18"/>
              </w:rPr>
              <w:t xml:space="preserve">No banned words (including “breach” unless counsel has declared one), unsupported attribution, or unexplained acronyms</w:t>
            </w:r>
          </w:p>
        </w:tc>
      </w:tr>
      <w:tr>
        <w:trPr>
          <w:cantSplit/>
        </w:trPr>
        <w:tc>
          <w:tcPr>
            <w:tcW w:w="650" w:type="dxa"/>
            <w:vAlign w:val="center"/>
            <w:shd w:fill="F3F5F7"/>
          </w:tcPr>
          <w:p>
            <w:pPr>
              <w:pStyle w:val="Compact"/>
              <w:spacing w:before="20" w:after="40" w:line="240" w:lineRule="auto"/>
            </w:pPr>
            <w:r>
              <w:rPr>
                <w:rFonts w:ascii="Calibri" w:hAnsi="Calibri"/>
                <w:color w:val="202A3A"/>
                <w:sz w:val="18"/>
              </w:rPr>
              <w:t xml:space="preserve">☐</w:t>
            </w:r>
          </w:p>
        </w:tc>
        <w:tc>
          <w:tcPr>
            <w:tcW w:w="8710" w:type="dxa"/>
            <w:vAlign w:val="center"/>
            <w:shd w:fill="F3F5F7"/>
          </w:tcPr>
          <w:p>
            <w:pPr>
              <w:pStyle w:val="Compact"/>
              <w:spacing w:before="20" w:after="40" w:line="240" w:lineRule="auto"/>
            </w:pPr>
            <w:r>
              <w:rPr>
                <w:rFonts w:ascii="Calibri" w:hAnsi="Calibri"/>
                <w:color w:val="202A3A"/>
                <w:sz w:val="18"/>
              </w:rPr>
              <w:t xml:space="preserve">Actions timestamped and owned; DONE vs. IN PROGRESS separated; evidence preserved</w:t>
            </w:r>
          </w:p>
        </w:tc>
      </w:tr>
      <w:tr>
        <w:trPr>
          <w:cantSplit/>
        </w:trPr>
        <w:tc>
          <w:tcPr>
            <w:tcW w:w="650" w:type="dxa"/>
            <w:vAlign w:val="center"/>
          </w:tcPr>
          <w:p>
            <w:pPr>
              <w:pStyle w:val="Compact"/>
              <w:spacing w:before="20" w:after="40" w:line="240" w:lineRule="auto"/>
            </w:pPr>
            <w:r>
              <w:rPr>
                <w:rFonts w:ascii="Calibri" w:hAnsi="Calibri"/>
                <w:color w:val="202A3A"/>
                <w:sz w:val="18"/>
              </w:rPr>
              <w:t xml:space="preserve">☐</w:t>
            </w:r>
          </w:p>
        </w:tc>
        <w:tc>
          <w:tcPr>
            <w:tcW w:w="8710" w:type="dxa"/>
            <w:vAlign w:val="center"/>
          </w:tcPr>
          <w:p>
            <w:pPr>
              <w:pStyle w:val="Compact"/>
              <w:spacing w:before="20" w:after="40" w:line="240" w:lineRule="auto"/>
            </w:pPr>
            <w:r>
              <w:rPr>
                <w:rFonts w:ascii="Calibri" w:hAnsi="Calibri"/>
                <w:color w:val="202A3A"/>
                <w:sz w:val="18"/>
              </w:rPr>
              <w:t xml:space="preserve">Known unknowns state why they matter and when resolved</w:t>
            </w:r>
          </w:p>
        </w:tc>
      </w:tr>
      <w:tr>
        <w:trPr>
          <w:cantSplit/>
        </w:trPr>
        <w:tc>
          <w:tcPr>
            <w:tcW w:w="650" w:type="dxa"/>
            <w:vAlign w:val="center"/>
            <w:shd w:fill="F3F5F7"/>
          </w:tcPr>
          <w:p>
            <w:pPr>
              <w:pStyle w:val="Compact"/>
              <w:spacing w:before="20" w:after="40" w:line="240" w:lineRule="auto"/>
            </w:pPr>
            <w:r>
              <w:rPr>
                <w:rFonts w:ascii="Calibri" w:hAnsi="Calibri"/>
                <w:color w:val="202A3A"/>
                <w:sz w:val="18"/>
              </w:rPr>
              <w:t xml:space="preserve">☐</w:t>
            </w:r>
          </w:p>
        </w:tc>
        <w:tc>
          <w:tcPr>
            <w:tcW w:w="8710" w:type="dxa"/>
            <w:vAlign w:val="center"/>
            <w:shd w:fill="F3F5F7"/>
          </w:tcPr>
          <w:p>
            <w:pPr>
              <w:pStyle w:val="Compact"/>
              <w:spacing w:before="20" w:after="40" w:line="240" w:lineRule="auto"/>
            </w:pPr>
            <w:r>
              <w:rPr>
                <w:rFonts w:ascii="Calibri" w:hAnsi="Calibri"/>
                <w:color w:val="202A3A"/>
                <w:sz w:val="18"/>
              </w:rPr>
              <w:t xml:space="preserve">Decision has owner, deadline, options, cost of delay — or “none”</w:t>
            </w:r>
          </w:p>
        </w:tc>
      </w:tr>
      <w:tr>
        <w:trPr>
          <w:cantSplit/>
        </w:trPr>
        <w:tc>
          <w:tcPr>
            <w:tcW w:w="650" w:type="dxa"/>
            <w:vAlign w:val="center"/>
          </w:tcPr>
          <w:p>
            <w:pPr>
              <w:pStyle w:val="Compact"/>
              <w:spacing w:before="20" w:after="40" w:line="240" w:lineRule="auto"/>
            </w:pPr>
            <w:r>
              <w:rPr>
                <w:rFonts w:ascii="Calibri" w:hAnsi="Calibri"/>
                <w:color w:val="202A3A"/>
                <w:sz w:val="18"/>
              </w:rPr>
              <w:t xml:space="preserve">☐</w:t>
            </w:r>
          </w:p>
        </w:tc>
        <w:tc>
          <w:tcPr>
            <w:tcW w:w="8710" w:type="dxa"/>
            <w:vAlign w:val="center"/>
          </w:tcPr>
          <w:p>
            <w:pPr>
              <w:pStyle w:val="Compact"/>
              <w:spacing w:before="20" w:after="40" w:line="240" w:lineRule="auto"/>
            </w:pPr>
            <w:r>
              <w:rPr>
                <w:rFonts w:ascii="Calibri" w:hAnsi="Calibri"/>
                <w:color w:val="202A3A"/>
                <w:sz w:val="18"/>
              </w:rPr>
              <w:t xml:space="preserve">Regulatory, contractual, insurance, and customer clocks reviewed with the authorized owner</w:t>
            </w:r>
          </w:p>
        </w:tc>
      </w:tr>
      <w:tr>
        <w:trPr>
          <w:cantSplit/>
        </w:trPr>
        <w:tc>
          <w:tcPr>
            <w:tcW w:w="650" w:type="dxa"/>
            <w:vAlign w:val="center"/>
            <w:shd w:fill="F3F5F7"/>
          </w:tcPr>
          <w:p>
            <w:pPr>
              <w:pStyle w:val="Compact"/>
              <w:spacing w:before="20" w:after="40" w:line="240" w:lineRule="auto"/>
            </w:pPr>
            <w:r>
              <w:rPr>
                <w:rFonts w:ascii="Calibri" w:hAnsi="Calibri"/>
                <w:color w:val="202A3A"/>
                <w:sz w:val="18"/>
              </w:rPr>
              <w:t xml:space="preserve">☐</w:t>
            </w:r>
          </w:p>
        </w:tc>
        <w:tc>
          <w:tcPr>
            <w:tcW w:w="8710" w:type="dxa"/>
            <w:vAlign w:val="center"/>
            <w:shd w:fill="F3F5F7"/>
          </w:tcPr>
          <w:p>
            <w:pPr>
              <w:pStyle w:val="Compact"/>
              <w:spacing w:before="20" w:after="40" w:line="240" w:lineRule="auto"/>
            </w:pPr>
            <w:r>
              <w:rPr>
                <w:rFonts w:ascii="Calibri" w:hAnsi="Calibri"/>
                <w:color w:val="202A3A"/>
                <w:sz w:val="18"/>
              </w:rPr>
              <w:t xml:space="preserve">≤ 1 page; raw indicators in appendix; prior version retained</w:t>
            </w:r>
          </w:p>
        </w:tc>
      </w:tr>
      <w:tr>
        <w:trPr>
          <w:cantSplit/>
        </w:trPr>
        <w:tc>
          <w:tcPr>
            <w:tcW w:w="650" w:type="dxa"/>
            <w:vAlign w:val="center"/>
          </w:tcPr>
          <w:p>
            <w:pPr>
              <w:pStyle w:val="Compact"/>
              <w:spacing w:before="20" w:after="40" w:line="240" w:lineRule="auto"/>
            </w:pPr>
            <w:r>
              <w:rPr>
                <w:rFonts w:ascii="Calibri" w:hAnsi="Calibri"/>
                <w:color w:val="202A3A"/>
                <w:sz w:val="18"/>
              </w:rPr>
              <w:t xml:space="preserve">☐</w:t>
            </w:r>
          </w:p>
        </w:tc>
        <w:tc>
          <w:tcPr>
            <w:tcW w:w="8710" w:type="dxa"/>
            <w:vAlign w:val="center"/>
          </w:tcPr>
          <w:p>
            <w:pPr>
              <w:pStyle w:val="Compact"/>
              <w:spacing w:before="20" w:after="40" w:line="240" w:lineRule="auto"/>
            </w:pPr>
            <w:r>
              <w:rPr>
                <w:rFonts w:ascii="Calibri" w:hAnsi="Calibri"/>
                <w:color w:val="202A3A"/>
                <w:sz w:val="18"/>
              </w:rPr>
              <w:t xml:space="preserve">Links: no active links to indicators, malware, or untrusted sites; malicious URLs defanged; link text descriptive (Supplement C)</w:t>
            </w:r>
          </w:p>
        </w:tc>
      </w:tr>
      <w:tr>
        <w:trPr>
          <w:cantSplit/>
        </w:trPr>
        <w:tc>
          <w:tcPr>
            <w:tcW w:w="650" w:type="dxa"/>
            <w:vAlign w:val="center"/>
            <w:shd w:fill="F3F5F7"/>
          </w:tcPr>
          <w:p>
            <w:pPr>
              <w:pStyle w:val="Compact"/>
              <w:spacing w:before="20" w:after="40" w:line="240" w:lineRule="auto"/>
            </w:pPr>
            <w:r>
              <w:rPr>
                <w:rFonts w:ascii="Calibri" w:hAnsi="Calibri"/>
                <w:color w:val="202A3A"/>
                <w:sz w:val="18"/>
              </w:rPr>
              <w:t xml:space="preserve">☐</w:t>
            </w:r>
          </w:p>
        </w:tc>
        <w:tc>
          <w:tcPr>
            <w:tcW w:w="8710" w:type="dxa"/>
            <w:vAlign w:val="center"/>
            <w:shd w:fill="F3F5F7"/>
          </w:tcPr>
          <w:p>
            <w:pPr>
              <w:pStyle w:val="Compact"/>
              <w:spacing w:before="20" w:after="40" w:line="240" w:lineRule="auto"/>
            </w:pPr>
            <w:r>
              <w:rPr>
                <w:rFonts w:ascii="Calibri" w:hAnsi="Calibri"/>
                <w:color w:val="202A3A"/>
                <w:sz w:val="18"/>
              </w:rPr>
              <w:t xml:space="preserve">Distribution list and handling marking verified before sending</w:t>
            </w:r>
          </w:p>
        </w:tc>
      </w:tr>
    </w:tbl>
    <w:p>
      <w:pPr>
        <w:pStyle w:val="BodyText"/>
      </w:pPr>
      <w:r>
        <w:rPr>
          <w:i/>
          <w:iCs/>
        </w:rPr>
        <w:t xml:space="preserve">Approved for distribution by: ____________________</w:t>
      </w:r>
      <w:r>
        <w:rPr>
          <w:i/>
          <w:iCs/>
        </w:rPr>
        <w:t xml:space="preserve"> </w:t>
      </w:r>
      <w:r>
        <w:rPr>
          <w:i/>
          <w:iCs/>
        </w:rPr>
        <w:t xml:space="preserve">Time (UTC): ____________</w:t>
      </w:r>
    </w:p>
    <w:bookmarkEnd w:id="23"/>
    <w:bookmarkStart w:id="24" w:name="X20557a1a3d55c1c42be35b9a03b10302c8174f0"/>
    <w:p>
      <w:pPr>
        <w:pStyle w:val="Heading2"/>
        <w:pageBreakBefore/>
      </w:pPr>
      <w:r>
        <w:t xml:space="preserve">Supplement A. Executive Summary Outline (copy and fill)</w:t>
      </w:r>
    </w:p>
    <w:p>
      <w:pPr>
        <w:pStyle w:val="FirstParagraph"/>
      </w:pPr>
      <w:r>
        <w:rPr>
          <w:i/>
          <w:iCs/>
        </w:rPr>
        <w:t xml:space="preserve">Strip everything else away. Fill each block in order, stay inside the</w:t>
      </w:r>
      <w:r>
        <w:rPr>
          <w:i/>
          <w:iCs/>
        </w:rPr>
        <w:t xml:space="preserve"> </w:t>
      </w:r>
      <w:r>
        <w:rPr>
          <w:i/>
          <w:iCs/>
        </w:rPr>
        <w:t xml:space="preserve">budget, delete any block that has nothing material and write “None.”</w:t>
      </w:r>
      <w:r>
        <w:rPr>
          <w:i/>
          <w:iCs/>
        </w:rPr>
        <w:t xml:space="preserve"> </w:t>
      </w:r>
      <w:r>
        <w:rPr>
          <w:i/>
          <w:iCs/>
        </w:rPr>
        <w:t xml:space="preserve">Total ≤ 250 words, one page.</w:t>
      </w:r>
    </w:p>
    <w:tbl>
      <w:tblPr>
        <w:tblStyle w:val="Table"/>
        <w:tblW w:type="dxa" w:w="9360"/>
        <w:jc w:val="left"/>
        <w:tblLayout w:type="fixed"/>
        <w:tblLook w:firstRow="1" w:lastRow="0" w:firstColumn="0" w:lastColumn="0" w:noHBand="0" w:noVBand="0" w:val="0020"/>
        <w:tblInd w:w="120" w:type="dxa"/>
      </w:tblPr>
      <w:tblGrid>
        <w:gridCol w:w="2700"/>
        <w:gridCol w:w="6660"/>
      </w:tblGrid>
      <w:tr>
        <w:trPr>
          <w:tblHeader w:val="on"/>
          <w:tblHeader w:val="true"/>
          <w:cantSplit/>
        </w:trPr>
        <w:tc>
          <w:tcPr>
            <w:tcW w:w="2700" w:type="dxa"/>
            <w:vAlign w:val="center"/>
            <w:shd w:fill="1A2B49"/>
          </w:tcPr>
          <w:p>
            <w:pPr>
              <w:pStyle w:val="Compact"/>
              <w:spacing w:after="40"/>
            </w:pPr>
            <w:r>
              <w:rPr>
                <w:rFonts w:ascii="Calibri" w:hAnsi="Calibri"/>
                <w:b/>
                <w:color w:val="FFFFFF"/>
                <w:sz w:val="18"/>
              </w:rPr>
              <w:t xml:space="preserve">Block</w:t>
            </w:r>
          </w:p>
        </w:tc>
        <w:tc>
          <w:tcPr>
            <w:tcW w:w="6660" w:type="dxa"/>
            <w:vAlign w:val="center"/>
            <w:shd w:fill="1A2B49"/>
          </w:tcPr>
          <w:p>
            <w:pPr>
              <w:pStyle w:val="Compact"/>
              <w:spacing w:after="40"/>
            </w:pPr>
            <w:r>
              <w:rPr>
                <w:rFonts w:ascii="Calibri" w:hAnsi="Calibri"/>
                <w:b/>
                <w:color w:val="FFFFFF"/>
                <w:sz w:val="18"/>
              </w:rPr>
              <w:t xml:space="preserve">Content to complete</w:t>
            </w:r>
          </w:p>
        </w:tc>
      </w:tr>
      <w:tr>
        <w:trPr>
          <w:cantSplit/>
        </w:trPr>
        <w:tc>
          <w:tcPr>
            <w:tcW w:w="2700" w:type="dxa"/>
            <w:vAlign w:val="center"/>
          </w:tcPr>
          <w:p>
            <w:pPr>
              <w:pStyle w:val="Compact"/>
              <w:spacing w:before="20" w:after="40" w:line="240" w:lineRule="auto"/>
            </w:pPr>
            <w:r>
              <w:rPr>
                <w:rFonts w:ascii="Calibri" w:hAnsi="Calibri"/>
                <w:color w:val="202A3A"/>
                <w:sz w:val="18"/>
              </w:rPr>
              <w:t xml:space="preserve">Context line</w:t>
            </w:r>
          </w:p>
        </w:tc>
        <w:tc>
          <w:tcPr>
            <w:tcW w:w="6660" w:type="dxa"/>
            <w:vAlign w:val="center"/>
          </w:tcPr>
          <w:p>
            <w:pPr>
              <w:pStyle w:val="Compact"/>
              <w:spacing w:before="20" w:after="40" w:line="240" w:lineRule="auto"/>
            </w:pPr>
            <w:r>
              <w:rPr>
                <w:rFonts w:ascii="Calibri" w:hAnsi="Calibri"/>
                <w:color w:val="202A3A"/>
                <w:sz w:val="18"/>
              </w:rPr>
              <w:t xml:space="preserve">Incident ID &amp; name: ______ | Severity: ______ | Exec owner: ______ | Incident lead / contact: ______ | Current as of: ____-__-__ __:__ UTC (__:__ local) | v__ | TLP: ______ | Privileged: Y / N | Next update: ______</w:t>
            </w:r>
          </w:p>
        </w:tc>
      </w:tr>
      <w:tr>
        <w:trPr>
          <w:cantSplit/>
        </w:trPr>
        <w:tc>
          <w:tcPr>
            <w:tcW w:w="2700" w:type="dxa"/>
            <w:vAlign w:val="center"/>
            <w:shd w:fill="F3F5F7"/>
          </w:tcPr>
          <w:p>
            <w:pPr>
              <w:pStyle w:val="Compact"/>
              <w:spacing w:before="20" w:after="40" w:line="240" w:lineRule="auto"/>
            </w:pPr>
            <w:r>
              <w:rPr>
                <w:rFonts w:ascii="Calibri" w:hAnsi="Calibri"/>
                <w:color w:val="202A3A"/>
                <w:sz w:val="18"/>
              </w:rPr>
              <w:t xml:space="preserve">1 BLUF (≤ 40 words)</w:t>
            </w:r>
          </w:p>
        </w:tc>
        <w:tc>
          <w:tcPr>
            <w:tcW w:w="6660" w:type="dxa"/>
            <w:vAlign w:val="center"/>
            <w:shd w:fill="F3F5F7"/>
          </w:tcPr>
          <w:p>
            <w:pPr>
              <w:pStyle w:val="Compact"/>
              <w:spacing w:before="20" w:after="40" w:line="240" w:lineRule="auto"/>
            </w:pPr>
            <w:r>
              <w:rPr>
                <w:rFonts w:ascii="Calibri" w:hAnsi="Calibri"/>
                <w:color w:val="202A3A"/>
                <w:sz w:val="18"/>
              </w:rPr>
              <w:t xml:space="preserve">What happened: ______________________________________ To what / whom: ______________________ Is it over: Yes / No / Partly Business consequence: ______________________ Decision required: Yes / No Incident type: phishing / stolen credentials / web exploit / ransomware / insider / third party / unknown</w:t>
            </w:r>
          </w:p>
        </w:tc>
      </w:tr>
      <w:tr>
        <w:trPr>
          <w:cantSplit/>
        </w:trPr>
        <w:tc>
          <w:tcPr>
            <w:tcW w:w="2700" w:type="dxa"/>
            <w:vAlign w:val="center"/>
          </w:tcPr>
          <w:p>
            <w:pPr>
              <w:pStyle w:val="Compact"/>
              <w:spacing w:before="20" w:after="40" w:line="240" w:lineRule="auto"/>
            </w:pPr>
            <w:r>
              <w:rPr>
                <w:rFonts w:ascii="Calibri" w:hAnsi="Calibri"/>
                <w:color w:val="202A3A"/>
                <w:sz w:val="18"/>
              </w:rPr>
              <w:t xml:space="preserve">2 Executive Risk (1 sentence)</w:t>
            </w:r>
          </w:p>
        </w:tc>
        <w:tc>
          <w:tcPr>
            <w:tcW w:w="6660" w:type="dxa"/>
            <w:vAlign w:val="center"/>
          </w:tcPr>
          <w:p>
            <w:pPr>
              <w:pStyle w:val="Compact"/>
              <w:spacing w:before="20" w:after="40" w:line="240" w:lineRule="auto"/>
            </w:pPr>
            <w:r>
              <w:rPr>
                <w:rFonts w:ascii="Calibri" w:hAnsi="Calibri"/>
                <w:color w:val="202A3A"/>
                <w:sz w:val="18"/>
              </w:rPr>
              <w:t xml:space="preserve">Severity: HIGH / MEDIUM / LOW — Why it matters now: ______________________________________</w:t>
            </w:r>
          </w:p>
        </w:tc>
      </w:tr>
      <w:tr>
        <w:trPr>
          <w:cantSplit/>
        </w:trPr>
        <w:tc>
          <w:tcPr>
            <w:tcW w:w="2700" w:type="dxa"/>
            <w:vAlign w:val="center"/>
            <w:shd w:fill="F3F5F7"/>
          </w:tcPr>
          <w:p>
            <w:pPr>
              <w:pStyle w:val="Compact"/>
              <w:spacing w:before="20" w:after="40" w:line="240" w:lineRule="auto"/>
            </w:pPr>
            <w:r>
              <w:rPr>
                <w:rFonts w:ascii="Calibri" w:hAnsi="Calibri"/>
                <w:color w:val="202A3A"/>
                <w:sz w:val="18"/>
              </w:rPr>
              <w:t xml:space="preserve">3 Current Status (1–2 lines)</w:t>
            </w:r>
          </w:p>
        </w:tc>
        <w:tc>
          <w:tcPr>
            <w:tcW w:w="6660" w:type="dxa"/>
            <w:vAlign w:val="center"/>
            <w:shd w:fill="F3F5F7"/>
          </w:tcPr>
          <w:p>
            <w:pPr>
              <w:pStyle w:val="Compact"/>
              <w:spacing w:before="20" w:after="40" w:line="240" w:lineRule="auto"/>
            </w:pPr>
            <w:r>
              <w:rPr>
                <w:rFonts w:ascii="Calibri" w:hAnsi="Calibri"/>
                <w:color w:val="202A3A"/>
                <w:sz w:val="18"/>
              </w:rPr>
              <w:t xml:space="preserve">Composite: Ongoing–Active / Contained–Monitoring / Eradicated–Recovering / Resolved Investigation: ______ Containment: ______ Eradication: ______ Recovery: ______ Residual risk: ______ Changed since v__: ______________________</w:t>
            </w:r>
          </w:p>
        </w:tc>
      </w:tr>
      <w:tr>
        <w:trPr>
          <w:cantSplit/>
        </w:trPr>
        <w:tc>
          <w:tcPr>
            <w:tcW w:w="2700" w:type="dxa"/>
            <w:vAlign w:val="center"/>
          </w:tcPr>
          <w:p>
            <w:pPr>
              <w:pStyle w:val="Compact"/>
              <w:spacing w:before="20" w:after="40" w:line="240" w:lineRule="auto"/>
            </w:pPr>
            <w:r>
              <w:rPr>
                <w:rFonts w:ascii="Calibri" w:hAnsi="Calibri"/>
                <w:color w:val="202A3A"/>
                <w:sz w:val="18"/>
              </w:rPr>
              <w:t xml:space="preserve">4 Detection &amp; Timeline (≤ 30 words)</w:t>
            </w:r>
          </w:p>
        </w:tc>
        <w:tc>
          <w:tcPr>
            <w:tcW w:w="6660" w:type="dxa"/>
            <w:vAlign w:val="center"/>
          </w:tcPr>
          <w:p>
            <w:pPr>
              <w:pStyle w:val="Compact"/>
              <w:spacing w:before="20" w:after="40" w:line="240" w:lineRule="auto"/>
            </w:pPr>
            <w:r>
              <w:rPr>
                <w:rFonts w:ascii="Calibri" w:hAnsi="Calibri"/>
                <w:color w:val="202A3A"/>
                <w:sz w:val="18"/>
              </w:rPr>
              <w:t xml:space="preserve">Detected: ____-__-__ __:__ UTC by ______ (source) / ______ (team) Earliest activity: ____-__-__ Dwell time: __ days Declared: ____-__-__ __:__ UTC</w:t>
            </w:r>
          </w:p>
        </w:tc>
      </w:tr>
      <w:tr>
        <w:trPr>
          <w:cantSplit/>
        </w:trPr>
        <w:tc>
          <w:tcPr>
            <w:tcW w:w="2700" w:type="dxa"/>
            <w:vAlign w:val="center"/>
            <w:shd w:fill="F3F5F7"/>
          </w:tcPr>
          <w:p>
            <w:pPr>
              <w:pStyle w:val="Compact"/>
              <w:spacing w:before="20" w:after="40" w:line="240" w:lineRule="auto"/>
            </w:pPr>
            <w:r>
              <w:rPr>
                <w:rFonts w:ascii="Calibri" w:hAnsi="Calibri"/>
                <w:color w:val="202A3A"/>
                <w:sz w:val="18"/>
              </w:rPr>
              <w:t xml:space="preserve">5 Scope &amp; Impact (≤ 50 words)</w:t>
            </w:r>
          </w:p>
        </w:tc>
        <w:tc>
          <w:tcPr>
            <w:tcW w:w="6660" w:type="dxa"/>
            <w:vAlign w:val="center"/>
            <w:shd w:fill="F3F5F7"/>
          </w:tcPr>
          <w:p>
            <w:pPr>
              <w:pStyle w:val="Compact"/>
              <w:spacing w:before="20" w:after="40" w:line="240" w:lineRule="auto"/>
            </w:pPr>
            <w:r>
              <w:rPr>
                <w:rFonts w:ascii="Calibri" w:hAnsi="Calibri"/>
                <w:color w:val="202A3A"/>
                <w:sz w:val="18"/>
              </w:rPr>
              <w:t xml:space="preserve">Systems: __ of __ (__%) Accounts: __ of __ Records: ______ Data: ______ — Confirmed / Suspected / Ruled out / Unknown — checked via: ______ Impact: operational ______ financial ______ legal/privacy ______ customer ______ Functional: ______ Information: ______ Recoverability: ______</w:t>
            </w:r>
          </w:p>
        </w:tc>
      </w:tr>
      <w:tr>
        <w:trPr>
          <w:cantSplit/>
        </w:trPr>
        <w:tc>
          <w:tcPr>
            <w:tcW w:w="2700" w:type="dxa"/>
            <w:vAlign w:val="center"/>
          </w:tcPr>
          <w:p>
            <w:pPr>
              <w:pStyle w:val="Compact"/>
              <w:spacing w:before="20" w:after="40" w:line="240" w:lineRule="auto"/>
            </w:pPr>
            <w:r>
              <w:rPr>
                <w:rFonts w:ascii="Calibri" w:hAnsi="Calibri"/>
                <w:color w:val="202A3A"/>
                <w:sz w:val="18"/>
              </w:rPr>
              <w:t xml:space="preserve">6 Threat Activity (≤ 40 words)</w:t>
            </w:r>
          </w:p>
        </w:tc>
        <w:tc>
          <w:tcPr>
            <w:tcW w:w="6660" w:type="dxa"/>
            <w:vAlign w:val="center"/>
          </w:tcPr>
          <w:p>
            <w:pPr>
              <w:pStyle w:val="Compact"/>
              <w:spacing w:before="20" w:after="40" w:line="240" w:lineRule="auto"/>
            </w:pPr>
            <w:r>
              <w:rPr>
                <w:rFonts w:ascii="Calibri" w:hAnsi="Calibri"/>
                <w:color w:val="202A3A"/>
                <w:sz w:val="18"/>
              </w:rPr>
              <w:t xml:space="preserve">Observed behavior (plain English): ______________________ (ATT&amp;CK ______ / CVE ______) Confidence: Low / Moderate / High Root cause: Confirmed / Hypothesis: ______ validate by ______ Attribution: None</w:t>
            </w:r>
          </w:p>
        </w:tc>
      </w:tr>
      <w:tr>
        <w:trPr>
          <w:cantSplit/>
        </w:trPr>
        <w:tc>
          <w:tcPr>
            <w:tcW w:w="2700" w:type="dxa"/>
            <w:vAlign w:val="center"/>
            <w:shd w:fill="F3F5F7"/>
          </w:tcPr>
          <w:p>
            <w:pPr>
              <w:pStyle w:val="Compact"/>
              <w:spacing w:before="20" w:after="40" w:line="240" w:lineRule="auto"/>
            </w:pPr>
            <w:r>
              <w:rPr>
                <w:rFonts w:ascii="Calibri" w:hAnsi="Calibri"/>
                <w:color w:val="202A3A"/>
                <w:sz w:val="18"/>
              </w:rPr>
              <w:t xml:space="preserve">7 Response &amp; Recovery (≤ 40 words)</w:t>
            </w:r>
          </w:p>
        </w:tc>
        <w:tc>
          <w:tcPr>
            <w:tcW w:w="6660" w:type="dxa"/>
            <w:vAlign w:val="center"/>
            <w:shd w:fill="F3F5F7"/>
          </w:tcPr>
          <w:p>
            <w:pPr>
              <w:pStyle w:val="Compact"/>
              <w:spacing w:before="20" w:after="40" w:line="240" w:lineRule="auto"/>
            </w:pPr>
            <w:r>
              <w:rPr>
                <w:rFonts w:ascii="Calibri" w:hAnsi="Calibri"/>
                <w:color w:val="202A3A"/>
                <w:sz w:val="18"/>
              </w:rPr>
              <w:t xml:space="preserve">DONE: __:__ ______ (owner) __:__ ______ (owner) IN PROGRESS / PLANNED / BLOCKED: ______ (owner, ETA ______) Evidence preserved: Yes / No Monitoring: ______</w:t>
            </w:r>
          </w:p>
        </w:tc>
      </w:tr>
      <w:tr>
        <w:trPr>
          <w:cantSplit/>
        </w:trPr>
        <w:tc>
          <w:tcPr>
            <w:tcW w:w="2700" w:type="dxa"/>
            <w:vAlign w:val="center"/>
          </w:tcPr>
          <w:p>
            <w:pPr>
              <w:pStyle w:val="Compact"/>
              <w:spacing w:before="20" w:after="40" w:line="240" w:lineRule="auto"/>
            </w:pPr>
            <w:r>
              <w:rPr>
                <w:rFonts w:ascii="Calibri" w:hAnsi="Calibri"/>
                <w:color w:val="202A3A"/>
                <w:sz w:val="18"/>
              </w:rPr>
              <w:t xml:space="preserve">8 Known Unknowns (≤ 3)</w:t>
            </w:r>
          </w:p>
        </w:tc>
        <w:tc>
          <w:tcPr>
            <w:tcW w:w="6660" w:type="dxa"/>
            <w:vAlign w:val="center"/>
          </w:tcPr>
          <w:p>
            <w:pPr>
              <w:pStyle w:val="Compact"/>
              <w:spacing w:before="20" w:after="40" w:line="240" w:lineRule="auto"/>
            </w:pPr>
            <w:r>
              <w:rPr>
                <w:rFonts w:ascii="Calibri" w:hAnsi="Calibri"/>
                <w:color w:val="202A3A"/>
                <w:sz w:val="18"/>
              </w:rPr>
              <w:t xml:space="preserve">(1) ______ — why it matters: ______ — expected: ______ (2) ______ — why it matters: ______ — expected: ______</w:t>
            </w:r>
          </w:p>
        </w:tc>
      </w:tr>
      <w:tr>
        <w:trPr>
          <w:cantSplit/>
        </w:trPr>
        <w:tc>
          <w:tcPr>
            <w:tcW w:w="2700" w:type="dxa"/>
            <w:vAlign w:val="center"/>
            <w:shd w:fill="F3F5F7"/>
          </w:tcPr>
          <w:p>
            <w:pPr>
              <w:pStyle w:val="Compact"/>
              <w:spacing w:before="20" w:after="40" w:line="240" w:lineRule="auto"/>
            </w:pPr>
            <w:r>
              <w:rPr>
                <w:rFonts w:ascii="Calibri" w:hAnsi="Calibri"/>
                <w:color w:val="202A3A"/>
                <w:sz w:val="18"/>
              </w:rPr>
              <w:t xml:space="preserve">9 Decisions &amp; Next Steps (≤ 50 words)</w:t>
            </w:r>
          </w:p>
        </w:tc>
        <w:tc>
          <w:tcPr>
            <w:tcW w:w="6660" w:type="dxa"/>
            <w:vAlign w:val="center"/>
            <w:shd w:fill="F3F5F7"/>
          </w:tcPr>
          <w:p>
            <w:pPr>
              <w:pStyle w:val="Compact"/>
              <w:spacing w:before="20" w:after="40" w:line="240" w:lineRule="auto"/>
            </w:pPr>
            <w:r>
              <w:rPr>
                <w:rFonts w:ascii="Calibri" w:hAnsi="Calibri"/>
                <w:color w:val="202A3A"/>
                <w:sz w:val="18"/>
              </w:rPr>
              <w:t xml:space="preserve">Decision: ______ Owner: ______ Deadline: ______ Options: ______ Cost of delay: ______ Recommend: ______ — or — No decision required. Immediate actions (24–48 h): ______ (owner, date) Clocks: regulatory ______ contractual ______ insurance ______ customer ______ Notified: ______ Post-incident review: ______</w:t>
            </w:r>
          </w:p>
        </w:tc>
      </w:tr>
    </w:tbl>
    <w:bookmarkEnd w:id="24"/>
    <w:bookmarkStart w:id="25" w:name="X2f629e2cb3146c551b1f654e0ddf7bc0d8c0624"/>
    <w:p>
      <w:pPr>
        <w:pStyle w:val="Heading2"/>
        <w:pageBreakBefore/>
      </w:pPr>
      <w:r>
        <w:t xml:space="preserve">Supplement B. Worked Example (fictional, annotated)</w:t>
      </w:r>
    </w:p>
    <w:tbl>
      <w:tblPr>
        <w:tblStyle w:val="Table"/>
        <w:tblW w:type="dxa" w:w="9360"/>
        <w:jc w:val="left"/>
        <w:tblLayout w:type="fixed"/>
        <w:tblLook w:firstRow="1" w:lastRow="0" w:firstColumn="0" w:lastColumn="0" w:noHBand="0" w:noVBand="0" w:val="0020"/>
        <w:tblInd w:w="120" w:type="dxa"/>
      </w:tblPr>
      <w:tblGrid>
        <w:gridCol w:w="2700"/>
        <w:gridCol w:w="6660"/>
      </w:tblGrid>
      <w:tr>
        <w:trPr>
          <w:tblHeader w:val="on"/>
          <w:tblHeader w:val="true"/>
          <w:cantSplit/>
        </w:trPr>
        <w:tc>
          <w:tcPr>
            <w:tcW w:w="2700" w:type="dxa"/>
            <w:vAlign w:val="center"/>
            <w:shd w:fill="1A2B49"/>
          </w:tcPr>
          <w:p>
            <w:pPr>
              <w:pStyle w:val="Compact"/>
              <w:spacing w:after="40"/>
            </w:pPr>
            <w:r>
              <w:rPr>
                <w:rFonts w:ascii="Calibri" w:hAnsi="Calibri"/>
                <w:b/>
                <w:bCs/>
                <w:color w:val="FFFFFF"/>
                <w:sz w:val="18"/>
              </w:rPr>
              <w:t xml:space="preserve">Block</w:t>
            </w:r>
          </w:p>
        </w:tc>
        <w:tc>
          <w:tcPr>
            <w:tcW w:w="6660" w:type="dxa"/>
            <w:vAlign w:val="center"/>
            <w:shd w:fill="1A2B49"/>
          </w:tcPr>
          <w:p>
            <w:pPr>
              <w:pStyle w:val="Compact"/>
              <w:spacing w:after="40"/>
            </w:pPr>
            <w:r>
              <w:rPr>
                <w:rFonts w:ascii="Calibri" w:hAnsi="Calibri"/>
                <w:b/>
                <w:bCs/>
                <w:color w:val="FFFFFF"/>
                <w:sz w:val="18"/>
              </w:rPr>
              <w:t xml:space="preserve">Executive Summary Content</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Context line</w:t>
            </w:r>
          </w:p>
        </w:tc>
        <w:tc>
          <w:tcPr>
            <w:tcW w:w="6660" w:type="dxa"/>
            <w:vAlign w:val="center"/>
          </w:tcPr>
          <w:p>
            <w:pPr>
              <w:pStyle w:val="Compact"/>
              <w:spacing w:before="20" w:after="40" w:line="240" w:lineRule="auto"/>
            </w:pPr>
            <w:r>
              <w:rPr>
                <w:rFonts w:ascii="Calibri" w:hAnsi="Calibri"/>
                <w:color w:val="202A3A"/>
                <w:sz w:val="18"/>
              </w:rPr>
              <w:t xml:space="preserve">Incident 2026-017 Contractor-VPN | Severity HIGH | Exec owner: CIO | Lead: J. Analyst x4421 | Current as of 2026-09-16 14:30 UTC (10:30 ET) | v3 | TLP:AMBER | Privileged: Y (per counsel) | Next update 16 Sep 22:00 UTC</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BLUF</w:t>
            </w:r>
          </w:p>
        </w:tc>
        <w:tc>
          <w:tcPr>
            <w:tcW w:w="6660" w:type="dxa"/>
            <w:vAlign w:val="center"/>
            <w:shd w:fill="F3F5F7"/>
          </w:tcPr>
          <w:p>
            <w:pPr>
              <w:pStyle w:val="Compact"/>
              <w:spacing w:before="20" w:after="40" w:line="240" w:lineRule="auto"/>
            </w:pPr>
            <w:r>
              <w:rPr>
                <w:rFonts w:ascii="Calibri" w:hAnsi="Calibri"/>
                <w:color w:val="202A3A"/>
                <w:sz w:val="18"/>
              </w:rPr>
              <w:t xml:space="preserve">An attacker used a stolen contractor VPN credential to access three Engineering file servers and copied ~4 GB of design documents to an external cloud account. Access is cut off; no customer or employee PII is involved; one decision is required by 17 Sep 12:00 UTC.</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Executive Risk</w:t>
            </w:r>
          </w:p>
        </w:tc>
        <w:tc>
          <w:tcPr>
            <w:tcW w:w="6660" w:type="dxa"/>
            <w:vAlign w:val="center"/>
          </w:tcPr>
          <w:p>
            <w:pPr>
              <w:pStyle w:val="Compact"/>
              <w:spacing w:before="20" w:after="40" w:line="240" w:lineRule="auto"/>
            </w:pPr>
            <w:r>
              <w:rPr>
                <w:rFonts w:ascii="Calibri" w:hAnsi="Calibri"/>
                <w:color w:val="202A3A"/>
                <w:sz w:val="18"/>
              </w:rPr>
              <w:t xml:space="preserve">Severity HIGH (Information: proprietary breach; Recoverability: supplemented). Primary risk is IP loss and contractual notification to two customers whose designs were in scope.</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Status</w:t>
            </w:r>
          </w:p>
        </w:tc>
        <w:tc>
          <w:tcPr>
            <w:tcW w:w="6660" w:type="dxa"/>
            <w:vAlign w:val="center"/>
            <w:shd w:fill="F3F5F7"/>
          </w:tcPr>
          <w:p>
            <w:pPr>
              <w:pStyle w:val="Compact"/>
              <w:spacing w:before="20" w:after="40" w:line="240" w:lineRule="auto"/>
            </w:pPr>
            <w:r>
              <w:rPr>
                <w:rFonts w:ascii="Calibri" w:hAnsi="Calibri"/>
                <w:color w:val="202A3A"/>
                <w:sz w:val="18"/>
              </w:rPr>
              <w:t xml:space="preserve">Contained – Monitoring. Investigation active; contained; eradication in progress; recovery not required (nothing destroyed). Residual risk Moderate: six related contractor accounts under review. Changed since v2: PII ruled out.</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Detection</w:t>
            </w:r>
          </w:p>
        </w:tc>
        <w:tc>
          <w:tcPr>
            <w:tcW w:w="6660" w:type="dxa"/>
            <w:vAlign w:val="center"/>
          </w:tcPr>
          <w:p>
            <w:pPr>
              <w:pStyle w:val="Compact"/>
              <w:spacing w:before="20" w:after="40" w:line="240" w:lineRule="auto"/>
            </w:pPr>
            <w:r>
              <w:rPr>
                <w:rFonts w:ascii="Calibri" w:hAnsi="Calibri"/>
                <w:color w:val="202A3A"/>
                <w:sz w:val="18"/>
              </w:rPr>
              <w:t xml:space="preserve">15 Sep 02:10 UTC, EDR alert (SOC). Earliest attacker login 11 Sep — dwell time 4 days. Declared 15 Sep 03:30 UTC.</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Scope &amp; Impact</w:t>
            </w:r>
          </w:p>
        </w:tc>
        <w:tc>
          <w:tcPr>
            <w:tcW w:w="6660" w:type="dxa"/>
            <w:vAlign w:val="center"/>
            <w:shd w:fill="F3F5F7"/>
          </w:tcPr>
          <w:p>
            <w:pPr>
              <w:pStyle w:val="Compact"/>
              <w:spacing w:before="20" w:after="40" w:line="240" w:lineRule="auto"/>
            </w:pPr>
            <w:r>
              <w:rPr>
                <w:rFonts w:ascii="Calibri" w:hAnsi="Calibri"/>
                <w:color w:val="202A3A"/>
                <w:sz w:val="18"/>
              </w:rPr>
              <w:t xml:space="preserve">3 of 41 file servers (7%). 1 account Confirmed; 6 Unknown (review by 22:00). Engineering drawings: Confirmed. Customer PII: Ruled out (DLP + share ACL review). Functional Low | Information Proprietary | Recoverability Supplemented.</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Threat Activity</w:t>
            </w:r>
          </w:p>
        </w:tc>
        <w:tc>
          <w:tcPr>
            <w:tcW w:w="6660" w:type="dxa"/>
            <w:vAlign w:val="center"/>
          </w:tcPr>
          <w:p>
            <w:pPr>
              <w:pStyle w:val="Compact"/>
              <w:spacing w:before="20" w:after="40" w:line="240" w:lineRule="auto"/>
            </w:pPr>
            <w:r>
              <w:rPr>
                <w:rFonts w:ascii="Calibri" w:hAnsi="Calibri"/>
                <w:color w:val="202A3A"/>
                <w:sz w:val="18"/>
              </w:rPr>
              <w:t xml:space="preserve">Valid-account VPN login (T1078); file discovery and transfer to cloud storage (T1567.002). Volume Assessed, moderate confidence. No attribution.</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Response</w:t>
            </w:r>
          </w:p>
        </w:tc>
        <w:tc>
          <w:tcPr>
            <w:tcW w:w="6660" w:type="dxa"/>
            <w:vAlign w:val="center"/>
            <w:shd w:fill="F3F5F7"/>
          </w:tcPr>
          <w:p>
            <w:pPr>
              <w:pStyle w:val="Compact"/>
              <w:spacing w:before="20" w:after="40" w:line="240" w:lineRule="auto"/>
            </w:pPr>
            <w:r>
              <w:rPr>
                <w:rFonts w:ascii="Calibri" w:hAnsi="Calibri"/>
                <w:color w:val="202A3A"/>
                <w:sz w:val="18"/>
              </w:rPr>
              <w:t xml:space="preserve">DONE — 15 Sep 02:40 credential disabled, session killed (SOC); 03:15 hosts isolated (EDR); disk and log images preserved. IN PROGRESS — contractor account rotation (IAM, ETA 16 Sep 22:00); enhanced egress monitoring 14 days.</w:t>
            </w:r>
          </w:p>
        </w:tc>
      </w:tr>
      <w:tr>
        <w:trPr>
          <w:cantSplit/>
        </w:trPr>
        <w:tc>
          <w:tcPr>
            <w:tcW w:w="2700" w:type="dxa"/>
            <w:vAlign w:val="center"/>
          </w:tcPr>
          <w:p>
            <w:pPr>
              <w:pStyle w:val="Compact"/>
              <w:spacing w:before="20" w:after="40" w:line="240" w:lineRule="auto"/>
            </w:pPr>
            <w:r>
              <w:rPr>
                <w:rFonts w:ascii="Calibri" w:hAnsi="Calibri"/>
                <w:b/>
                <w:bCs/>
                <w:color w:val="202A3A"/>
                <w:sz w:val="18"/>
              </w:rPr>
              <w:t xml:space="preserve">Known Unknowns</w:t>
            </w:r>
          </w:p>
        </w:tc>
        <w:tc>
          <w:tcPr>
            <w:tcW w:w="6660" w:type="dxa"/>
            <w:vAlign w:val="center"/>
          </w:tcPr>
          <w:p>
            <w:pPr>
              <w:pStyle w:val="Compact"/>
              <w:spacing w:before="20" w:after="40" w:line="240" w:lineRule="auto"/>
            </w:pPr>
            <w:r>
              <w:rPr>
                <w:rFonts w:ascii="Calibri" w:hAnsi="Calibri"/>
                <w:color w:val="202A3A"/>
                <w:sz w:val="18"/>
              </w:rPr>
              <w:t xml:space="preserve">(1) Exact file list — expected 17 Sep. (2) Use of the 6 remaining accounts — expected 16 Sep 22:00.</w:t>
            </w:r>
          </w:p>
        </w:tc>
      </w:tr>
      <w:tr>
        <w:trPr>
          <w:cantSplit/>
        </w:trPr>
        <w:tc>
          <w:tcPr>
            <w:tcW w:w="2700" w:type="dxa"/>
            <w:vAlign w:val="center"/>
            <w:shd w:fill="F3F5F7"/>
          </w:tcPr>
          <w:p>
            <w:pPr>
              <w:pStyle w:val="Compact"/>
              <w:spacing w:before="20" w:after="40" w:line="240" w:lineRule="auto"/>
            </w:pPr>
            <w:r>
              <w:rPr>
                <w:rFonts w:ascii="Calibri" w:hAnsi="Calibri"/>
                <w:b/>
                <w:bCs/>
                <w:color w:val="202A3A"/>
                <w:sz w:val="18"/>
              </w:rPr>
              <w:t xml:space="preserve">Decisions &amp; Next Steps</w:t>
            </w:r>
          </w:p>
        </w:tc>
        <w:tc>
          <w:tcPr>
            <w:tcW w:w="6660" w:type="dxa"/>
            <w:vAlign w:val="center"/>
            <w:shd w:fill="F3F5F7"/>
          </w:tcPr>
          <w:p>
            <w:pPr>
              <w:pStyle w:val="Compact"/>
              <w:spacing w:before="20" w:after="40" w:line="240" w:lineRule="auto"/>
            </w:pPr>
            <w:r>
              <w:rPr>
                <w:rFonts w:ascii="Calibri" w:hAnsi="Calibri"/>
                <w:color w:val="202A3A"/>
                <w:sz w:val="18"/>
              </w:rPr>
              <w:t xml:space="preserve">(1) Approve customer notification draft by 17 Sep 12:00 UTC (Legal); delay risks contract breach. (2) Approve MFA enforcement for contractor VPN, est. 2 days disruption for 40 contractors (CIO). Regulatory clock: none. Contractual clock: 5 business days from confirmation. Insurer notified 15 Sep. Post-incident review 30 Sep.</w:t>
            </w:r>
          </w:p>
        </w:tc>
      </w:tr>
    </w:tbl>
    <w:p>
      <w:pPr>
        <w:pStyle w:val="BodyText"/>
      </w:pPr>
      <w:r>
        <w:rPr>
          <w:b/>
          <w:bCs/>
        </w:rPr>
        <w:t xml:space="preserve">Why it works:</w:t>
      </w:r>
      <w:r>
        <w:t xml:space="preserve"> </w:t>
      </w:r>
      <w:r>
        <w:t xml:space="preserve">the first two lines carry attack, assets, data</w:t>
      </w:r>
      <w:r>
        <w:t xml:space="preserve"> </w:t>
      </w:r>
      <w:r>
        <w:t xml:space="preserve">consequence, and containment state; every scope claim has a number or</w:t>
      </w:r>
      <w:r>
        <w:t xml:space="preserve"> </w:t>
      </w:r>
      <w:r>
        <w:t xml:space="preserve">evidence boundary; IDs support the narrative; actions are timestamped</w:t>
      </w:r>
      <w:r>
        <w:t xml:space="preserve"> </w:t>
      </w:r>
      <w:r>
        <w:t xml:space="preserve">and owned; unknowns have dates; leadership gets two decisions with</w:t>
      </w:r>
      <w:r>
        <w:t xml:space="preserve"> </w:t>
      </w:r>
      <w:r>
        <w:t xml:space="preserve">deadlines and cost of delay.</w:t>
      </w:r>
    </w:p>
    <w:p>
      <w:pPr>
        <w:pStyle w:val="BodyText"/>
      </w:pPr>
      <w:r>
        <w:rPr>
          <w:b/>
          <w:bCs/>
        </w:rPr>
        <w:t xml:space="preserve">Deliberately excluded:</w:t>
      </w:r>
      <w:r>
        <w:t xml:space="preserve"> </w:t>
      </w:r>
      <w:r>
        <w:t xml:space="preserve">IP addresses, hashes, alert names,</w:t>
      </w:r>
      <w:r>
        <w:t xml:space="preserve"> </w:t>
      </w:r>
      <w:r>
        <w:t xml:space="preserve">screenshots, commands, full chronology, unverified actor claims — those</w:t>
      </w:r>
      <w:r>
        <w:t xml:space="preserve"> </w:t>
      </w:r>
      <w:r>
        <w:t xml:space="preserve">live in the technical record unless one changes an executive decision.</w:t>
      </w:r>
    </w:p>
    <w:bookmarkEnd w:id="25"/>
    <w:bookmarkStart w:id="32" w:name="supplement-c-handling-links-in-reports"/>
    <w:p>
      <w:pPr>
        <w:pStyle w:val="Heading2"/>
        <w:pageBreakBefore/>
      </w:pPr>
      <w:r>
        <w:t xml:space="preserve">Supplement C. Handling Links in Reports</w:t>
      </w:r>
    </w:p>
    <w:p>
      <w:pPr>
        <w:pStyle w:val="FirstParagraph"/>
        <w:keepNext/>
        <w:keepLines/>
        <w:spacing w:before="160" w:after="200"/>
        <w:jc w:val="center"/>
      </w:pPr>
      <w:r>
        <w:rPr>
          <w:b/>
          <w:i w:val="0"/>
          <w:color w:val="1565A8"/>
          <w:sz w:val="24"/>
        </w:rPr>
        <w:t>Links support the report.</w:t>
        <w:br/>
      </w:r>
      <w:r>
        <w:rPr>
          <w:b w:val="0"/>
          <w:i w:val="0"/>
          <w:color w:val="000000"/>
          <w:sz w:val="16"/>
        </w:rPr>
        <w:t>They are never the only location of critical evidence, and a link must never be the thing that causes the next incident.</w:t>
      </w:r>
    </w:p>
    <w:bookmarkStart w:id="26" w:name="pragmatic-rules"/>
    <w:p>
      <w:pPr>
        <w:pStyle w:val="Heading3"/>
      </w:pPr>
      <w:r>
        <w:t xml:space="preserve">Pragmatic rules</w:t>
      </w:r>
    </w:p>
    <w:p>
      <w:pPr>
        <w:widowControl/>
        <w:numPr>
          <w:ilvl w:val="0"/>
          <w:numId w:val="1002"/>
        </w:numPr>
        <w:spacing w:before="0" w:after="80" w:line="250" w:lineRule="auto"/>
      </w:pPr>
      <w:r>
        <w:rPr>
          <w:rFonts w:ascii="Calibri" w:hAnsi="Calibri"/>
          <w:b/>
          <w:bCs/>
          <w:color w:val="202A3A"/>
          <w:sz w:val="20"/>
        </w:rPr>
        <w:t xml:space="preserve">Standard stakeholder reports:</w:t>
      </w:r>
      <w:r>
        <w:rPr>
          <w:rFonts w:ascii="Calibri" w:hAnsi="Calibri"/>
          <w:color w:val="202A3A"/>
          <w:sz w:val="20"/>
        </w:rPr>
        <w:t xml:space="preserve"> </w:t>
      </w:r>
      <w:r>
        <w:rPr>
          <w:rFonts w:ascii="Calibri" w:hAnsi="Calibri"/>
          <w:color w:val="202A3A"/>
          <w:sz w:val="20"/>
        </w:rPr>
        <w:t xml:space="preserve">active links are acceptable for</w:t>
      </w:r>
      <w:r>
        <w:rPr>
          <w:rFonts w:ascii="Calibri" w:hAnsi="Calibri"/>
          <w:color w:val="202A3A"/>
          <w:sz w:val="20"/>
        </w:rPr>
        <w:t xml:space="preserve"> </w:t>
      </w:r>
      <w:r>
        <w:rPr>
          <w:rFonts w:ascii="Calibri" w:hAnsi="Calibri"/>
          <w:color w:val="202A3A"/>
          <w:sz w:val="20"/>
        </w:rPr>
        <w:t xml:space="preserve">trusted, supplementary references (vendor documentation, CVE</w:t>
      </w:r>
      <w:r>
        <w:rPr>
          <w:rFonts w:ascii="Calibri" w:hAnsi="Calibri"/>
          <w:color w:val="202A3A"/>
          <w:sz w:val="20"/>
        </w:rPr>
        <w:t xml:space="preserve"> </w:t>
      </w:r>
      <w:r>
        <w:rPr>
          <w:rFonts w:ascii="Calibri" w:hAnsi="Calibri"/>
          <w:color w:val="202A3A"/>
          <w:sz w:val="20"/>
        </w:rPr>
        <w:t xml:space="preserve">databases, NIST publications).</w:t>
      </w:r>
    </w:p>
    <w:p>
      <w:pPr>
        <w:widowControl/>
        <w:numPr>
          <w:ilvl w:val="0"/>
          <w:numId w:val="1002"/>
        </w:numPr>
        <w:spacing w:before="0" w:after="80" w:line="250" w:lineRule="auto"/>
      </w:pPr>
      <w:r>
        <w:rPr>
          <w:rFonts w:ascii="Calibri" w:hAnsi="Calibri"/>
          <w:b/>
          <w:bCs/>
          <w:color w:val="202A3A"/>
          <w:sz w:val="20"/>
        </w:rPr>
        <w:t xml:space="preserve">Sensitive forensic and executive reports:</w:t>
      </w:r>
      <w:r>
        <w:rPr>
          <w:rFonts w:ascii="Calibri" w:hAnsi="Calibri"/>
          <w:color w:val="202A3A"/>
          <w:sz w:val="20"/>
        </w:rPr>
        <w:t xml:space="preserve"> </w:t>
      </w:r>
      <w:r>
        <w:rPr>
          <w:rFonts w:ascii="Calibri" w:hAnsi="Calibri"/>
          <w:color w:val="202A3A"/>
          <w:sz w:val="20"/>
        </w:rPr>
        <w:t xml:space="preserve">limit active links to</w:t>
      </w:r>
      <w:r>
        <w:rPr>
          <w:rFonts w:ascii="Calibri" w:hAnsi="Calibri"/>
          <w:color w:val="202A3A"/>
          <w:sz w:val="20"/>
        </w:rPr>
        <w:t xml:space="preserve"> </w:t>
      </w:r>
      <w:r>
        <w:rPr>
          <w:rFonts w:ascii="Calibri" w:hAnsi="Calibri"/>
          <w:color w:val="202A3A"/>
          <w:sz w:val="20"/>
        </w:rPr>
        <w:t xml:space="preserve">trusted,</w:t>
      </w:r>
      <w:r>
        <w:rPr>
          <w:rFonts w:ascii="Calibri" w:hAnsi="Calibri"/>
          <w:color w:val="202A3A"/>
          <w:sz w:val="20"/>
        </w:rPr>
        <w:t xml:space="preserve"> </w:t>
      </w:r>
      <w:r>
        <w:rPr>
          <w:rFonts w:ascii="Calibri" w:hAnsi="Calibri"/>
          <w:b/>
          <w:bCs/>
          <w:color w:val="202A3A"/>
          <w:sz w:val="20"/>
        </w:rPr>
        <w:t xml:space="preserve">personally validated</w:t>
      </w:r>
      <w:r>
        <w:rPr>
          <w:rFonts w:ascii="Calibri" w:hAnsi="Calibri"/>
          <w:color w:val="202A3A"/>
          <w:sz w:val="20"/>
        </w:rPr>
        <w:t xml:space="preserve"> </w:t>
      </w:r>
      <w:r>
        <w:rPr>
          <w:rFonts w:ascii="Calibri" w:hAnsi="Calibri"/>
          <w:color w:val="202A3A"/>
          <w:sz w:val="20"/>
        </w:rPr>
        <w:t xml:space="preserve">authoritative sources. When in</w:t>
      </w:r>
      <w:r>
        <w:rPr>
          <w:rFonts w:ascii="Calibri" w:hAnsi="Calibri"/>
          <w:color w:val="202A3A"/>
          <w:sz w:val="20"/>
        </w:rPr>
        <w:t xml:space="preserve"> </w:t>
      </w:r>
      <w:r>
        <w:rPr>
          <w:rFonts w:ascii="Calibri" w:hAnsi="Calibri"/>
          <w:color w:val="202A3A"/>
          <w:sz w:val="20"/>
        </w:rPr>
        <w:t xml:space="preserve">doubt, plain-text citation.</w:t>
      </w:r>
    </w:p>
    <w:p>
      <w:pPr>
        <w:widowControl/>
        <w:numPr>
          <w:ilvl w:val="0"/>
          <w:numId w:val="1002"/>
        </w:numPr>
        <w:spacing w:before="0" w:after="80" w:line="250" w:lineRule="auto"/>
      </w:pPr>
      <w:r>
        <w:rPr>
          <w:rFonts w:ascii="Calibri" w:hAnsi="Calibri"/>
          <w:b/>
          <w:bCs/>
          <w:color w:val="202A3A"/>
          <w:sz w:val="20"/>
        </w:rPr>
        <w:t xml:space="preserve">High-risk indicators: ALWAYS defanged and non-clickable.</w:t>
      </w:r>
      <w:r>
        <w:rPr>
          <w:rFonts w:ascii="Calibri" w:hAnsi="Calibri"/>
          <w:color w:val="202A3A"/>
          <w:sz w:val="20"/>
        </w:rPr>
        <w:t xml:space="preserve"> </w:t>
      </w:r>
      <w:r>
        <w:rPr>
          <w:rFonts w:ascii="Calibri" w:hAnsi="Calibri"/>
          <w:color w:val="202A3A"/>
          <w:sz w:val="20"/>
        </w:rPr>
        <w:t xml:space="preserve">No</w:t>
      </w:r>
      <w:r>
        <w:rPr>
          <w:rFonts w:ascii="Calibri" w:hAnsi="Calibri"/>
          <w:color w:val="202A3A"/>
          <w:sz w:val="20"/>
        </w:rPr>
        <w:t xml:space="preserve"> </w:t>
      </w:r>
      <w:r>
        <w:rPr>
          <w:rFonts w:ascii="Calibri" w:hAnsi="Calibri"/>
          <w:color w:val="202A3A"/>
          <w:sz w:val="20"/>
        </w:rPr>
        <w:t xml:space="preserve">exceptions, in any report, to any audience.</w:t>
      </w:r>
    </w:p>
    <w:p>
      <w:pPr>
        <w:widowControl/>
        <w:numPr>
          <w:ilvl w:val="0"/>
          <w:numId w:val="1002"/>
        </w:numPr>
        <w:spacing w:before="0" w:after="80" w:line="250" w:lineRule="auto"/>
      </w:pPr>
      <w:r>
        <w:rPr>
          <w:rFonts w:ascii="Calibri" w:hAnsi="Calibri"/>
          <w:b/>
          <w:bCs/>
          <w:color w:val="202A3A"/>
          <w:sz w:val="20"/>
        </w:rPr>
        <w:t xml:space="preserve">High-security environments:</w:t>
      </w:r>
      <w:r>
        <w:rPr>
          <w:rFonts w:ascii="Calibri" w:hAnsi="Calibri"/>
          <w:color w:val="202A3A"/>
          <w:sz w:val="20"/>
        </w:rPr>
        <w:t xml:space="preserve"> </w:t>
      </w:r>
      <w:r>
        <w:rPr>
          <w:rFonts w:ascii="Calibri" w:hAnsi="Calibri"/>
          <w:color w:val="202A3A"/>
          <w:sz w:val="20"/>
        </w:rPr>
        <w:t xml:space="preserve">plain-text citations or a</w:t>
      </w:r>
      <w:r>
        <w:rPr>
          <w:rFonts w:ascii="Calibri" w:hAnsi="Calibri"/>
          <w:color w:val="202A3A"/>
          <w:sz w:val="20"/>
        </w:rPr>
        <w:t xml:space="preserve"> </w:t>
      </w:r>
      <w:r>
        <w:rPr>
          <w:rFonts w:ascii="Calibri" w:hAnsi="Calibri"/>
          <w:color w:val="202A3A"/>
          <w:sz w:val="20"/>
        </w:rPr>
        <w:t xml:space="preserve">non-clickable references appendix only.</w:t>
      </w:r>
    </w:p>
    <w:bookmarkEnd w:id="26"/>
    <w:bookmarkStart w:id="27" w:name="poor-professional-judgment"/>
    <w:p>
      <w:pPr>
        <w:pStyle w:val="Heading3"/>
      </w:pPr>
      <w:r>
        <w:t xml:space="preserve">Poor professional judgment</w:t>
      </w:r>
    </w:p>
    <w:p>
      <w:pPr>
        <w:widowControl/>
        <w:numPr>
          <w:ilvl w:val="0"/>
          <w:numId w:val="1003"/>
        </w:numPr>
        <w:spacing w:before="0" w:after="80" w:line="250" w:lineRule="auto"/>
      </w:pPr>
      <w:r>
        <w:rPr>
          <w:rFonts w:ascii="Calibri" w:hAnsi="Calibri"/>
          <w:color w:val="202A3A"/>
          <w:sz w:val="20"/>
        </w:rPr>
        <w:t xml:space="preserve">An active link that points to a malicious or untrusted URL, replaces</w:t>
      </w:r>
      <w:r>
        <w:rPr>
          <w:rFonts w:ascii="Calibri" w:hAnsi="Calibri"/>
          <w:color w:val="202A3A"/>
          <w:sz w:val="20"/>
        </w:rPr>
        <w:t xml:space="preserve"> </w:t>
      </w:r>
      <w:r>
        <w:rPr>
          <w:rFonts w:ascii="Calibri" w:hAnsi="Calibri"/>
          <w:color w:val="202A3A"/>
          <w:sz w:val="20"/>
        </w:rPr>
        <w:t xml:space="preserve">essential written content, or is delivered to an audience where one</w:t>
      </w:r>
      <w:r>
        <w:rPr>
          <w:rFonts w:ascii="Calibri" w:hAnsi="Calibri"/>
          <w:color w:val="202A3A"/>
          <w:sz w:val="20"/>
        </w:rPr>
        <w:t xml:space="preserve"> </w:t>
      </w:r>
      <w:r>
        <w:rPr>
          <w:rFonts w:ascii="Calibri" w:hAnsi="Calibri"/>
          <w:color w:val="202A3A"/>
          <w:sz w:val="20"/>
        </w:rPr>
        <w:t xml:space="preserve">click could trigger a security incident.</w:t>
      </w:r>
    </w:p>
    <w:p>
      <w:pPr>
        <w:widowControl/>
        <w:numPr>
          <w:ilvl w:val="0"/>
          <w:numId w:val="1003"/>
        </w:numPr>
        <w:spacing w:before="0" w:after="80" w:line="250" w:lineRule="auto"/>
      </w:pPr>
      <w:r>
        <w:rPr>
          <w:rFonts w:ascii="Calibri" w:hAnsi="Calibri"/>
          <w:color w:val="202A3A"/>
          <w:sz w:val="20"/>
        </w:rPr>
        <w:t xml:space="preserve">Unverified active links of any kind — unnecessary risk, and it reads</w:t>
      </w:r>
      <w:r>
        <w:rPr>
          <w:rFonts w:ascii="Calibri" w:hAnsi="Calibri"/>
          <w:color w:val="202A3A"/>
          <w:sz w:val="20"/>
        </w:rPr>
        <w:t xml:space="preserve"> </w:t>
      </w:r>
      <w:r>
        <w:rPr>
          <w:rFonts w:ascii="Calibri" w:hAnsi="Calibri"/>
          <w:color w:val="202A3A"/>
          <w:sz w:val="20"/>
        </w:rPr>
        <w:t xml:space="preserve">as careless.</w:t>
      </w:r>
    </w:p>
    <w:p>
      <w:pPr>
        <w:widowControl/>
        <w:numPr>
          <w:ilvl w:val="0"/>
          <w:numId w:val="1003"/>
        </w:numPr>
        <w:spacing w:before="0" w:after="80" w:line="250" w:lineRule="auto"/>
      </w:pPr>
      <w:r>
        <w:rPr>
          <w:rFonts w:ascii="Calibri" w:hAnsi="Calibri"/>
          <w:color w:val="202A3A"/>
          <w:sz w:val="20"/>
        </w:rPr>
        <w:t xml:space="preserve">Active links to malware, exploit repositories, suspicious domains, or</w:t>
      </w:r>
      <w:r>
        <w:rPr>
          <w:rFonts w:ascii="Calibri" w:hAnsi="Calibri"/>
          <w:color w:val="202A3A"/>
          <w:sz w:val="20"/>
        </w:rPr>
        <w:t xml:space="preserve"> </w:t>
      </w:r>
      <w:r>
        <w:rPr>
          <w:rFonts w:ascii="Calibri" w:hAnsi="Calibri"/>
          <w:color w:val="202A3A"/>
          <w:sz w:val="20"/>
        </w:rPr>
        <w:t xml:space="preserve">live indicators.</w:t>
      </w:r>
    </w:p>
    <w:bookmarkEnd w:id="27"/>
    <w:bookmarkStart w:id="28" w:name="X94ababb2283f9c5be3abe6be1ec041c540d3df4"/>
    <w:p>
      <w:pPr>
        <w:pStyle w:val="Heading3"/>
      </w:pPr>
      <w:r>
        <w:t xml:space="preserve">1. Defang sensitive or malicious URLs</w:t>
      </w:r>
    </w:p>
    <w:p>
      <w:pPr>
        <w:widowControl/>
        <w:numPr>
          <w:ilvl w:val="0"/>
          <w:numId w:val="1004"/>
        </w:numPr>
        <w:spacing w:before="0" w:after="80" w:line="250" w:lineRule="auto"/>
      </w:pPr>
      <w:r>
        <w:rPr>
          <w:rFonts w:ascii="Calibri" w:hAnsi="Calibri"/>
          <w:color w:val="202A3A"/>
          <w:sz w:val="20"/>
        </w:rPr>
        <w:t xml:space="preserve">Any URL pointing to attacker infrastructure, a threat actor, or an</w:t>
      </w:r>
      <w:r>
        <w:rPr>
          <w:rFonts w:ascii="Calibri" w:hAnsi="Calibri"/>
          <w:color w:val="202A3A"/>
          <w:sz w:val="20"/>
        </w:rPr>
        <w:t xml:space="preserve"> </w:t>
      </w:r>
      <w:r>
        <w:rPr>
          <w:rFonts w:ascii="Calibri" w:hAnsi="Calibri"/>
          <w:color w:val="202A3A"/>
          <w:sz w:val="20"/>
        </w:rPr>
        <w:t xml:space="preserve">untrusted site is rendered inert: hxxp:// for http://, [.] for the</w:t>
      </w:r>
      <w:r>
        <w:rPr>
          <w:rFonts w:ascii="Calibri" w:hAnsi="Calibri"/>
          <w:color w:val="202A3A"/>
          <w:sz w:val="20"/>
        </w:rPr>
        <w:t xml:space="preserve"> </w:t>
      </w:r>
      <w:r>
        <w:rPr>
          <w:rFonts w:ascii="Calibri" w:hAnsi="Calibri"/>
          <w:color w:val="202A3A"/>
          <w:sz w:val="20"/>
        </w:rPr>
        <w:t xml:space="preserve">dot — e.g., hxxps://evil-domain[.]example/payload.</w:t>
      </w:r>
    </w:p>
    <w:p>
      <w:pPr>
        <w:widowControl/>
        <w:numPr>
          <w:ilvl w:val="0"/>
          <w:numId w:val="1004"/>
        </w:numPr>
        <w:spacing w:before="0" w:after="80" w:line="250" w:lineRule="auto"/>
      </w:pPr>
      <w:r>
        <w:rPr>
          <w:rFonts w:ascii="Calibri" w:hAnsi="Calibri"/>
          <w:color w:val="202A3A"/>
          <w:sz w:val="20"/>
        </w:rPr>
        <w:t xml:space="preserve">Show the organization and domain in the visible text; strip URL</w:t>
      </w:r>
      <w:r>
        <w:rPr>
          <w:rFonts w:ascii="Calibri" w:hAnsi="Calibri"/>
          <w:color w:val="202A3A"/>
          <w:sz w:val="20"/>
        </w:rPr>
        <w:t xml:space="preserve"> </w:t>
      </w:r>
      <w:r>
        <w:rPr>
          <w:rFonts w:ascii="Calibri" w:hAnsi="Calibri"/>
          <w:color w:val="202A3A"/>
          <w:sz w:val="20"/>
        </w:rPr>
        <w:t xml:space="preserve">shorteners and redirects so the true destination is readable.</w:t>
      </w:r>
    </w:p>
    <w:bookmarkEnd w:id="28"/>
    <w:bookmarkStart w:id="29" w:name="X3a237bf7a5405b9106b8f6fb0ea0cb5076403c5"/>
    <w:p>
      <w:pPr>
        <w:pStyle w:val="Heading3"/>
      </w:pPr>
      <w:r>
        <w:t xml:space="preserve">2. Prioritize content over links</w:t>
      </w:r>
    </w:p>
    <w:p>
      <w:pPr>
        <w:widowControl/>
        <w:numPr>
          <w:ilvl w:val="0"/>
          <w:numId w:val="1005"/>
        </w:numPr>
        <w:spacing w:before="0" w:after="80" w:line="250" w:lineRule="auto"/>
      </w:pPr>
      <w:r>
        <w:rPr>
          <w:rFonts w:ascii="Calibri" w:hAnsi="Calibri"/>
          <w:color w:val="202A3A"/>
          <w:sz w:val="20"/>
        </w:rPr>
        <w:t xml:space="preserve">Vulnerability mechanics, impact, and remediation steps exist as plain</w:t>
      </w:r>
      <w:r>
        <w:rPr>
          <w:rFonts w:ascii="Calibri" w:hAnsi="Calibri"/>
          <w:color w:val="202A3A"/>
          <w:sz w:val="20"/>
        </w:rPr>
        <w:t xml:space="preserve"> </w:t>
      </w:r>
      <w:r>
        <w:rPr>
          <w:rFonts w:ascii="Calibri" w:hAnsi="Calibri"/>
          <w:color w:val="202A3A"/>
          <w:sz w:val="20"/>
        </w:rPr>
        <w:t xml:space="preserve">text in the document. If every link dies, the report is still</w:t>
      </w:r>
      <w:r>
        <w:rPr>
          <w:rFonts w:ascii="Calibri" w:hAnsi="Calibri"/>
          <w:color w:val="202A3A"/>
          <w:sz w:val="20"/>
        </w:rPr>
        <w:t xml:space="preserve"> </w:t>
      </w:r>
      <w:r>
        <w:rPr>
          <w:rFonts w:ascii="Calibri" w:hAnsi="Calibri"/>
          <w:color w:val="202A3A"/>
          <w:sz w:val="20"/>
        </w:rPr>
        <w:t xml:space="preserve">actionable.</w:t>
      </w:r>
    </w:p>
    <w:p>
      <w:pPr>
        <w:widowControl/>
        <w:numPr>
          <w:ilvl w:val="0"/>
          <w:numId w:val="1005"/>
        </w:numPr>
        <w:spacing w:before="0" w:after="80" w:line="250" w:lineRule="auto"/>
      </w:pPr>
      <w:r>
        <w:rPr>
          <w:rFonts w:ascii="Calibri" w:hAnsi="Calibri"/>
          <w:color w:val="202A3A"/>
          <w:sz w:val="20"/>
        </w:rPr>
        <w:t xml:space="preserve">Preserve critical source material separately (PDF, screenshot,</w:t>
      </w:r>
      <w:r>
        <w:rPr>
          <w:rFonts w:ascii="Calibri" w:hAnsi="Calibri"/>
          <w:color w:val="202A3A"/>
          <w:sz w:val="20"/>
        </w:rPr>
        <w:t xml:space="preserve"> </w:t>
      </w:r>
      <w:r>
        <w:rPr>
          <w:rFonts w:ascii="Calibri" w:hAnsi="Calibri"/>
          <w:color w:val="202A3A"/>
          <w:sz w:val="20"/>
        </w:rPr>
        <w:t xml:space="preserve">archived copy); a link can change or disappear.</w:t>
      </w:r>
    </w:p>
    <w:bookmarkEnd w:id="29"/>
    <w:bookmarkStart w:id="30" w:name="Xdb73bf0d84c9ac5462179bdd9cc22ab6eea38a1"/>
    <w:p>
      <w:pPr>
        <w:pStyle w:val="Heading3"/>
      </w:pPr>
      <w:r>
        <w:t xml:space="preserve">3. Use descriptive link text</w:t>
      </w:r>
    </w:p>
    <w:p>
      <w:pPr>
        <w:pStyle w:val="Compact"/>
        <w:numPr>
          <w:ilvl w:val="0"/>
          <w:numId w:val="1006"/>
        </w:numPr>
      </w:pPr>
      <w:r>
        <w:t xml:space="preserve">No raw URLs, no “click here.” Say where the link goes: “See the OWASP</w:t>
      </w:r>
      <w:r>
        <w:t xml:space="preserve"> </w:t>
      </w:r>
      <w:r>
        <w:t xml:space="preserve">SQL Injection Prevention Cheat Sheet,” not “</w:t>
      </w:r>
      <w:r>
        <w:rPr>
          <w:rStyle w:val="VerbatimChar"/>
        </w:rPr>
        <w:t xml:space="preserve">https://owasp.org/…</w:t>
      </w:r>
      <w:r>
        <w:t xml:space="preserve">”.</w:t>
      </w:r>
    </w:p>
    <w:bookmarkEnd w:id="30"/>
    <w:bookmarkStart w:id="31" w:name="Xb6dd67625d54ad360da12e7141aa5c38c4626ec"/>
    <w:p>
      <w:pPr>
        <w:pStyle w:val="Heading3"/>
      </w:pPr>
      <w:r>
        <w:t xml:space="preserve">4. Contextualize references — help them help themselves</w:t>
      </w:r>
    </w:p>
    <w:p>
      <w:pPr>
        <w:pStyle w:val="Compact"/>
        <w:numPr>
          <w:ilvl w:val="0"/>
          <w:numId w:val="1007"/>
        </w:numPr>
      </w:pPr>
      <w:r>
        <w:t xml:space="preserve">A raw link dump (scanner output) adds nothing. Add one sentence on why</w:t>
      </w:r>
      <w:r>
        <w:t xml:space="preserve"> </w:t>
      </w:r>
      <w:r>
        <w:t xml:space="preserve">the reference matters to this environment or finding.</w:t>
      </w:r>
    </w:p>
    <w:p>
      <w:pPr>
        <w:pStyle w:val="FirstParagraph"/>
      </w:pPr>
      <w:r>
        <w:rPr>
          <w:b/>
          <w:bCs/>
        </w:rPr>
        <w:t xml:space="preserve">Executive summary rule:</w:t>
      </w:r>
      <w:r>
        <w:t xml:space="preserve"> </w:t>
      </w:r>
      <w:r>
        <w:t xml:space="preserve">the one-page summary carries no active links</w:t>
      </w:r>
      <w:r>
        <w:t xml:space="preserve"> </w:t>
      </w:r>
      <w:r>
        <w:t xml:space="preserve">at all. Anything worth linking belongs in the technical report or this</w:t>
      </w:r>
      <w:r>
        <w:t xml:space="preserve"> </w:t>
      </w:r>
      <w:r>
        <w:t xml:space="preserve">appendix.</w:t>
      </w:r>
    </w:p>
    <w:bookmarkEnd w:id="31"/>
    <w:bookmarkEnd w:id="32"/>
    <w:bookmarkStart w:id="42" w:name="references"/>
    <w:p>
      <w:pPr>
        <w:pStyle w:val="Heading2"/>
        <w:pageBreakBefore/>
      </w:pPr>
      <w:r>
        <w:t xml:space="preserve">References</w:t>
      </w:r>
    </w:p>
    <w:p>
      <w:pPr>
        <w:pStyle w:val="FirstParagraph"/>
      </w:pPr>
      <w:r>
        <w:t xml:space="preserve">Cybersecurity and Infrastructure Security Agency. (n.d.). CISA National</w:t>
      </w:r>
      <w:r>
        <w:t xml:space="preserve"> </w:t>
      </w:r>
      <w:r>
        <w:t xml:space="preserve">Cyber Incident Scoring System (NCISS). U.S. Department of Homeland</w:t>
      </w:r>
      <w:r>
        <w:t xml:space="preserve"> </w:t>
      </w:r>
      <w:r>
        <w:t xml:space="preserve">Security.</w:t>
      </w:r>
      <w:r>
        <w:t xml:space="preserve"> </w:t>
      </w:r>
      <w:hyperlink r:id="rId33">
        <w:r>
          <w:rPr>
            <w:rStyle w:val="Hyperlink"/>
          </w:rPr>
          <w:t xml:space="preserve">https://www.cisa.gov/news-events/news/cisa-national-cyber-incident-scoring-system-nciss</w:t>
        </w:r>
      </w:hyperlink>
    </w:p>
    <w:p>
      <w:pPr>
        <w:pStyle w:val="BodyText"/>
      </w:pPr>
      <w:r>
        <w:t xml:space="preserve">Cybersecurity and Infrastructure Security Agency. (n.d.). Federal</w:t>
      </w:r>
      <w:r>
        <w:t xml:space="preserve"> </w:t>
      </w:r>
      <w:r>
        <w:t xml:space="preserve">incident notification guidelines. U.S. Department of Homeland Security.</w:t>
      </w:r>
      <w:r>
        <w:t xml:space="preserve"> </w:t>
      </w:r>
      <w:hyperlink r:id="rId34">
        <w:r>
          <w:rPr>
            <w:rStyle w:val="Hyperlink"/>
          </w:rPr>
          <w:t xml:space="preserve">https://www.cisa.gov/federal-incident-notification-guidelines</w:t>
        </w:r>
      </w:hyperlink>
    </w:p>
    <w:p>
      <w:pPr>
        <w:pStyle w:val="BodyText"/>
      </w:pPr>
      <w:r>
        <w:t xml:space="preserve">Forum of Incident Response and Security Teams. (2022). Traffic Light</w:t>
      </w:r>
      <w:r>
        <w:t xml:space="preserve"> </w:t>
      </w:r>
      <w:r>
        <w:t xml:space="preserve">Protocol (TLP) 2.0.</w:t>
      </w:r>
      <w:r>
        <w:t xml:space="preserve"> </w:t>
      </w:r>
      <w:hyperlink r:id="rId35">
        <w:r>
          <w:rPr>
            <w:rStyle w:val="Hyperlink"/>
          </w:rPr>
          <w:t xml:space="preserve">https://www.first.org/tlp/</w:t>
        </w:r>
      </w:hyperlink>
    </w:p>
    <w:p>
      <w:pPr>
        <w:pStyle w:val="BodyText"/>
      </w:pPr>
      <w:r>
        <w:t xml:space="preserve">MITRE. (n.d.). MITRE ATT&amp;CK: Enterprise matrix.</w:t>
      </w:r>
      <w:r>
        <w:t xml:space="preserve"> </w:t>
      </w:r>
      <w:hyperlink r:id="rId36">
        <w:r>
          <w:rPr>
            <w:rStyle w:val="Hyperlink"/>
          </w:rPr>
          <w:t xml:space="preserve">https://attack.mitre.org/</w:t>
        </w:r>
      </w:hyperlink>
    </w:p>
    <w:p>
      <w:pPr>
        <w:pStyle w:val="BodyText"/>
      </w:pPr>
      <w:r>
        <w:t xml:space="preserve">National Institute of Standards and Technology. (2012). Computer</w:t>
      </w:r>
      <w:r>
        <w:t xml:space="preserve"> </w:t>
      </w:r>
      <w:r>
        <w:t xml:space="preserve">security incident handling guide (NIST Special Publication 800-61 Rev.</w:t>
      </w:r>
      <w:r>
        <w:t xml:space="preserve"> </w:t>
      </w:r>
      <w:r>
        <w:t xml:space="preserve">2). U.S. Department of Commerce.</w:t>
      </w:r>
      <w:r>
        <w:t xml:space="preserve"> </w:t>
      </w:r>
      <w:hyperlink r:id="rId37">
        <w:r>
          <w:rPr>
            <w:rStyle w:val="Hyperlink"/>
          </w:rPr>
          <w:t xml:space="preserve">https://doi.org/10.6028/NIST.SP.800-61r2</w:t>
        </w:r>
      </w:hyperlink>
    </w:p>
    <w:p>
      <w:pPr>
        <w:pStyle w:val="BodyText"/>
      </w:pPr>
      <w:r>
        <w:t xml:space="preserve">National Institute of Standards and Technology. (2024). The NIST</w:t>
      </w:r>
      <w:r>
        <w:t xml:space="preserve"> </w:t>
      </w:r>
      <w:r>
        <w:t xml:space="preserve">Cybersecurity Framework (CSF) 2.0 (NIST CSWP 29). U.S. Department of</w:t>
      </w:r>
      <w:r>
        <w:t xml:space="preserve"> </w:t>
      </w:r>
      <w:r>
        <w:t xml:space="preserve">Commerce.</w:t>
      </w:r>
      <w:r>
        <w:t xml:space="preserve"> </w:t>
      </w:r>
      <w:hyperlink r:id="rId38">
        <w:r>
          <w:rPr>
            <w:rStyle w:val="Hyperlink"/>
          </w:rPr>
          <w:t xml:space="preserve">https://doi.org/10.6028/NIST.CSWP.29</w:t>
        </w:r>
      </w:hyperlink>
    </w:p>
    <w:p>
      <w:pPr>
        <w:pStyle w:val="BodyText"/>
      </w:pPr>
      <w:r>
        <w:t xml:space="preserve">National Institute of Standards and Technology. (2025). Incident</w:t>
      </w:r>
      <w:r>
        <w:t xml:space="preserve"> </w:t>
      </w:r>
      <w:r>
        <w:t xml:space="preserve">response recommendations and considerations for cybersecurity risk</w:t>
      </w:r>
      <w:r>
        <w:t xml:space="preserve"> </w:t>
      </w:r>
      <w:r>
        <w:t xml:space="preserve">management: A CSF 2.0 community profile (NIST Special Publication 800-61</w:t>
      </w:r>
      <w:r>
        <w:t xml:space="preserve"> </w:t>
      </w:r>
      <w:r>
        <w:t xml:space="preserve">Rev. 3). U.S. Department of Commerce.</w:t>
      </w:r>
      <w:r>
        <w:t xml:space="preserve"> </w:t>
      </w:r>
      <w:hyperlink r:id="rId39">
        <w:r>
          <w:rPr>
            <w:rStyle w:val="Hyperlink"/>
          </w:rPr>
          <w:t xml:space="preserve">https://doi.org/10.6028/NIST.SP.800-61r3</w:t>
        </w:r>
      </w:hyperlink>
    </w:p>
    <w:p>
      <w:pPr>
        <w:pStyle w:val="BodyText"/>
      </w:pPr>
      <w:r>
        <w:t xml:space="preserve">Office of the Director of National Intelligence. (2015). Intelligence</w:t>
      </w:r>
      <w:r>
        <w:t xml:space="preserve"> </w:t>
      </w:r>
      <w:r>
        <w:t xml:space="preserve">Community Directive 203: Analytic standards.</w:t>
      </w:r>
      <w:r>
        <w:t xml:space="preserve"> </w:t>
      </w:r>
      <w:hyperlink r:id="rId40">
        <w:r>
          <w:rPr>
            <w:rStyle w:val="Hyperlink"/>
          </w:rPr>
          <w:t xml:space="preserve">https://www.dni.gov/</w:t>
        </w:r>
      </w:hyperlink>
    </w:p>
    <w:p>
      <w:pPr>
        <w:pStyle w:val="BodyText"/>
      </w:pPr>
      <w:r>
        <w:t xml:space="preserve">U.S. Department of the Army. (2020). Preparing and managing</w:t>
      </w:r>
      <w:r>
        <w:t xml:space="preserve"> </w:t>
      </w:r>
      <w:r>
        <w:t xml:space="preserve">correspondence (Army Regulation 25-50).</w:t>
      </w:r>
      <w:r>
        <w:t xml:space="preserve"> </w:t>
      </w:r>
      <w:hyperlink r:id="rId41">
        <w:r>
          <w:rPr>
            <w:rStyle w:val="Hyperlink"/>
          </w:rPr>
          <w:t xml:space="preserve">https://armypubs.army.mil/</w:t>
        </w:r>
      </w:hyperlink>
    </w:p>
    <w:p>
      <w:pPr>
        <w:pStyle w:val="BodyText"/>
      </w:pPr>
      <w:r>
        <w:rPr>
          <w:i/>
          <w:iCs/>
        </w:rPr>
        <w:t xml:space="preserve">Reporting clocks referenced in this guide (SEC Form 8-K Item 1.05; GDPR</w:t>
      </w:r>
      <w:r>
        <w:rPr>
          <w:i/>
          <w:iCs/>
        </w:rPr>
        <w:t xml:space="preserve"> </w:t>
      </w:r>
      <w:r>
        <w:rPr>
          <w:i/>
          <w:iCs/>
        </w:rPr>
        <w:t xml:space="preserve">Article 33; CIRCIA; HIPAA Breach Notification Rule; NYDFS 23 NYCRR 500;</w:t>
      </w:r>
      <w:r>
        <w:rPr>
          <w:i/>
          <w:iCs/>
        </w:rPr>
        <w:t xml:space="preserve"> </w:t>
      </w:r>
      <w:r>
        <w:rPr>
          <w:i/>
          <w:iCs/>
        </w:rPr>
        <w:t xml:space="preserve">DFARS 252.204-7012) are statutory and regulatory instruments; verify</w:t>
      </w:r>
      <w:r>
        <w:rPr>
          <w:i/>
          <w:iCs/>
        </w:rPr>
        <w:t xml:space="preserve"> </w:t>
      </w:r>
      <w:r>
        <w:rPr>
          <w:i/>
          <w:iCs/>
        </w:rPr>
        <w:t xml:space="preserve">current text with counsel before use.</w:t>
      </w:r>
    </w:p>
    <w:bookmarkEnd w:id="42"/>
    <w:bookmarkEnd w:id="43"/>
    <w:sectPr>
      <w:headerReference r:id="rIdHdr1" w:type="default"/>
      <w:footerReference r:id="rIdFtr1" w:type="default"/>
      <w:pgSz w:h="15840" w:w="12240"/>
      <w:pgMar w:bottom="1037" w:footer="432" w:gutter="0" w:header="432" w:left="1181" w:right="1181" w:top="10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jc w:val="center"/>
    </w:pPr>
    <w:r>
      <w:rPr>
        <w:rFonts w:ascii="Calibri" w:hAnsi="Calibri"/>
        <w:color w:val="667085"/>
        <w:sz w:val="17"/>
      </w:rPr>
      <w:t>© 2026 Kalos Cybersecurity LLC - Alerts to Answers · v21</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tbl>
    <w:tblPr>
      <w:tblW w:type="dxa" w:w="9880"/>
      <w:tblLayout w:type="fixed"/>
      <w:tblLook w:firstColumn="1" w:firstRow="1" w:lastColumn="0" w:lastRow="0" w:noHBand="0" w:noVBand="1" w:val="04A0"/>
      <w:jc w:val="center"/>
      <w:tblInd w:w="120" w:type="dxa"/>
    </w:tblPr>
    <w:tblGrid>
      <w:gridCol w:w="6700"/>
      <w:gridCol w:w="3180"/>
    </w:tblGrid>
    <w:tr>
      <w:tc>
        <w:tcPr>
          <w:tcW w:type="dxa" w:w="6700"/>
          <w:vAlign w:val="center"/>
        </w:tcPr>
        <w:p>
          <w:pPr>
            <w:jc w:val="left"/>
            <w:pBdr>
              <w:bottom w:val="single" w:sz="6" w:space="5" w:color="C8D5E6"/>
            </w:pBdr>
          </w:pPr>
          <w:r>
            <w:rPr>
              <w:rFonts w:ascii="Calibri" w:hAnsi="Calibri"/>
              <w:b/>
              <w:color w:val="667085"/>
              <w:sz w:val="17"/>
            </w:rPr>
            <w:t>Alerts to Answers - Analyst Field Guide</w:t>
          </w:r>
        </w:p>
      </w:tc>
      <w:tc>
        <w:tcPr>
          <w:tcW w:type="dxa" w:w="3180"/>
          <w:vAlign w:val="center"/>
        </w:tcPr>
        <w:p>
          <w:pPr>
            <w:jc w:val="right"/>
            <w:pBdr>
              <w:bottom w:val="single" w:sz="6" w:space="5" w:color="C8D5E6"/>
            </w:pBdr>
          </w:pPr>
          <w:r>
            <w:rPr>
              <w:rFonts w:ascii="Calibri" w:hAnsi="Calibri"/>
              <w:color w:val="667085"/>
              <w:sz w:val="17"/>
            </w:rPr>
            <w:t xml:space="preserve">Guide 08  |  Page </w:t>
          </w:r>
          <w:r>
            <w:rPr>
              <w:rFonts w:ascii="Calibri" w:hAnsi="Calibri"/>
              <w:color w:val="667085"/>
              <w:sz w:val="17"/>
            </w:rPr>
            <w:fldChar w:fldCharType="begin"/>
            <w:instrText xml:space="preserve"> PAGE </w:instrText>
            <w:fldChar w:fldCharType="separate"/>
            <w:t>1</w:t>
            <w:fldChar w:fldCharType="end"/>
          </w:r>
        </w:p>
      </w:tc>
    </w:tr>
  </w:tbl>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customStyle="1" w:styleId="FirstParagraph" w:type="paragraph">
    <w:name w:val="First Paragraph"/>
    <w:basedOn w:val="BodyText"/>
    <w:next w:val="BodyText"/>
    <w:qFormat/>
  </w:style>
  <w:style w:styleId="Title" w:type="paragraph">
    <w:name w:val="Title"/>
    <w:basedOn w:val="Normal"/>
    <w:next w:val="BodyText"/>
    <w:link w:val="TitleChar"/>
    <w:uiPriority w:val="10"/>
    <w:qFormat/>
    <w:rsid w:val="00A10FD9"/>
    <w:pPr>
      <w:widowControl/>
      <w:spacing w:after="140" w:line="240" w:lineRule="auto" w:before="0"/>
      <w:contextualSpacing/>
      <w:jc w:val="center"/>
    </w:pPr>
    <w:rPr>
      <w:rFonts w:asciiTheme="majorHAnsi" w:cstheme="majorBidi" w:eastAsiaTheme="majorEastAsia" w:hAnsiTheme="majorHAnsi" w:ascii="Calibri" w:hAnsi="Calibri"/>
      <w:b/>
      <w:color w:val="1A2B49"/>
      <w:sz w:val="4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widowControl/>
      <w:numPr>
        <w:ilvl w:val="1"/>
      </w:numPr>
      <w:spacing w:before="0" w:after="240" w:line="240" w:lineRule="auto"/>
    </w:pPr>
    <w:rPr>
      <w:rFonts w:cstheme="majorBidi" w:eastAsiaTheme="majorEastAsia" w:ascii="Calibri" w:hAnsi="Calibri"/>
      <w:b w:val="0"/>
      <w:color w:val="667085"/>
      <w:spacing w:val="15"/>
      <w:sz w:val="24"/>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default="1" w:styleId="Normal" w:type="paragraph">
    <w:name w:val="Normal"/>
    <w:qFormat/>
    <w:pPr>
      <w:widowControl/>
      <w:spacing w:before="0" w:after="80" w:line="250" w:lineRule="auto"/>
    </w:pPr>
    <w:rPr>
      <w:rFonts w:ascii="Calibri" w:cs="Calibri" w:hAnsi="Calibri"/>
      <w:b w:val="0"/>
      <w:color w:val="202A3A"/>
      <w:sz w:val="20"/>
      <w:szCs w:val="24"/>
    </w:rPr>
  </w:style>
  <w:style w:styleId="Heading1" w:type="paragraph">
    <w:name w:val="Heading 1"/>
    <w:basedOn w:val="Normal"/>
    <w:next w:val="BodyText"/>
    <w:uiPriority w:val="9"/>
    <w:qFormat/>
    <w:pPr>
      <w:keepNext/>
      <w:keepLines/>
      <w:widowControl/>
      <w:spacing w:after="160" w:before="0" w:line="240" w:lineRule="auto"/>
      <w:outlineLvl w:val="0"/>
    </w:pPr>
    <w:rPr>
      <w:rFonts w:ascii="Calibri" w:hAnsi="Calibri"/>
      <w:b/>
      <w:bCs/>
      <w:color w:val="1A2B49"/>
      <w:sz w:val="48"/>
      <w:szCs w:val="36"/>
    </w:rPr>
  </w:style>
  <w:style w:styleId="Heading2" w:type="paragraph">
    <w:name w:val="Heading 2"/>
    <w:basedOn w:val="Normal"/>
    <w:next w:val="BodyText"/>
    <w:uiPriority w:val="9"/>
    <w:qFormat/>
    <w:pPr>
      <w:keepNext/>
      <w:keepLines/>
      <w:widowControl/>
      <w:spacing w:after="80" w:before="240" w:line="240" w:lineRule="auto"/>
      <w:outlineLvl w:val="1"/>
    </w:pPr>
    <w:rPr>
      <w:rFonts w:ascii="Calibri" w:hAnsi="Calibri"/>
      <w:b/>
      <w:bCs/>
      <w:color w:val="12469A"/>
      <w:sz w:val="29"/>
      <w:szCs w:val="32"/>
    </w:rPr>
  </w:style>
  <w:style w:styleId="Heading3" w:type="paragraph">
    <w:name w:val="Heading 3"/>
    <w:basedOn w:val="Normal"/>
    <w:next w:val="BodyText"/>
    <w:uiPriority w:val="9"/>
    <w:qFormat/>
    <w:pPr>
      <w:keepNext/>
      <w:keepLines/>
      <w:widowControl/>
      <w:spacing w:after="40" w:before="160" w:line="240" w:lineRule="auto"/>
      <w:outlineLvl w:val="2"/>
    </w:pPr>
    <w:rPr>
      <w:rFonts w:ascii="Calibri" w:hAnsi="Calibri"/>
      <w:b/>
      <w:bCs/>
      <w:color w:val="1A2B49"/>
      <w:sz w:val="22"/>
      <w:szCs w:val="24"/>
    </w:rPr>
  </w:style>
  <w:style w:customStyle="1" w:styleId="SourceCode" w:type="paragraph">
    <w:name w:val="Source Code"/>
    <w:basedOn w:val="Normal"/>
    <w:next w:val="BodyText"/>
    <w:qFormat/>
    <w:pPr>
      <w:keepLines/>
      <w:shd w:color="auto" w:fill="E8F1FA" w:val="clear"/>
      <w:pBdr>
        <w:top w:color="5B8DB8" w:space="6" w:sz="8" w:val="single"/>
        <w:left w:color="5B8DB8" w:space="6" w:sz="8" w:val="single"/>
        <w:bottom w:color="5B8DB8" w:space="6" w:sz="8" w:val="single"/>
        <w:right w:color="5B8DB8" w:space="6" w:sz="8" w:val="single"/>
      </w:pBdr>
      <w:spacing w:after="160" w:before="0" w:line="240" w:lineRule="auto"/>
      <w:ind w:left="144" w:right="144"/>
      <w:contextualSpacing w:val="0"/>
    </w:pPr>
    <w:rPr>
      <w:rFonts w:ascii="Consolas" w:cs="Consolas" w:hAnsi="Consolas"/>
      <w:color w:val="1A2B49"/>
      <w:sz w:val="20"/>
      <w:szCs w:val="20"/>
      <w:noProof/>
    </w:rPr>
  </w:style>
  <w:style w:customStyle="1" w:styleId="CodeLabel" w:type="paragraph">
    <w:name w:val="Code Label"/>
    <w:basedOn w:val="Normal"/>
    <w:next w:val="SourceCode"/>
    <w:qFormat/>
    <w:pPr>
      <w:keepNext/>
      <w:keepLines/>
      <w:shd w:color="auto" w:fill="5B8DB8" w:val="clear"/>
      <w:pBdr>
        <w:top w:color="5B8DB8" w:space="3" w:sz="8" w:val="single"/>
        <w:left w:color="5B8DB8" w:space="6" w:sz="8" w:val="single"/>
        <w:right w:color="5B8DB8" w:space="6" w:sz="8" w:val="single"/>
      </w:pBdr>
      <w:spacing w:after="0" w:before="200" w:line="240" w:lineRule="auto"/>
      <w:ind w:left="144" w:right="144"/>
    </w:pPr>
    <w:rPr>
      <w:rFonts w:ascii="Calibri" w:hAnsi="Calibri"/>
      <w:b/>
      <w:caps/>
      <w:color w:val="FFFFFF"/>
      <w:sz w:val="17"/>
      <w:szCs w:val="17"/>
      <w:spacing w:val="20"/>
    </w:rPr>
  </w:style>
  <w:style w:customStyle="1" w:styleId="VerbatimChar" w:type="character">
    <w:name w:val="Verbatim Char"/>
    <w:basedOn w:val="DefaultParagraphFont"/>
    <w:rPr>
      <w:rFonts w:ascii="Consolas" w:cs="Consolas" w:hAnsi="Consolas"/>
      <w:shd w:color="auto" w:fill="EDF3F9" w:val="clear"/>
      <w:color w:val="1A2B49"/>
      <w:sz w:val="21"/>
      <w:szCs w:val="21"/>
    </w:rPr>
  </w:style>
  <w:style w:customStyle="1" w:styleId="Compact" w:type="paragraph">
    <w:name w:val="Compact"/>
    <w:basedOn w:val="BodyText"/>
    <w:qFormat/>
    <w:pPr>
      <w:spacing w:after="0" w:before="0" w:line="240" w:lineRule="auto"/>
      <w:contextualSpacing/>
    </w:pPr>
  </w:style>
  <w:style w:styleId="BodyText" w:type="paragraph">
    <w:name w:val="Body Text"/>
    <w:basedOn w:val="Normal"/>
    <w:link w:val="BodyTextChar"/>
    <w:qFormat/>
    <w:pPr>
      <w:spacing w:after="140" w:before="0" w:line="264" w:lineRule="auto"/>
    </w:pPr>
  </w:style>
  <w:style w:styleId="Header" w:type="paragraph">
    <w:name w:val="header"/>
    <w:basedOn w:val="Normal"/>
    <w:pPr>
      <w:jc w:val="center"/>
    </w:pPr>
    <w:rPr>
      <w:sz w:val="20"/>
      <w:color w:val="666666"/>
    </w:rPr>
  </w:style>
  <w:style w:styleId="Footer" w:type="paragraph">
    <w:name w:val="footer"/>
    <w:basedOn w:val="Normal"/>
    <w:rPr>
      <w:sz w:val="20"/>
      <w:color w:val="66666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Hdr1" Type="http://schemas.openxmlformats.org/officeDocument/2006/relationships/header" Target="header1.xml"/><Relationship Id="rIdFtr1" Type="http://schemas.openxmlformats.org/officeDocument/2006/relationships/footer" Target="footer1.xml"/><Relationship Id="rId41" Type="http://schemas.openxmlformats.org/officeDocument/2006/relationships/hyperlink" Target="https://armypubs.army.mil/" TargetMode="External"/><Relationship Id="rId36" Type="http://schemas.openxmlformats.org/officeDocument/2006/relationships/hyperlink" Target="https://attack.mitre.org/" TargetMode="External"/><Relationship Id="rId38" Type="http://schemas.openxmlformats.org/officeDocument/2006/relationships/hyperlink" Target="https://doi.org/10.6028/NIST.CSWP.29" TargetMode="External"/><Relationship Id="rId37" Type="http://schemas.openxmlformats.org/officeDocument/2006/relationships/hyperlink" Target="https://doi.org/10.6028/NIST.SP.800-61r2" TargetMode="External"/><Relationship Id="rId39" Type="http://schemas.openxmlformats.org/officeDocument/2006/relationships/hyperlink" Target="https://doi.org/10.6028/NIST.SP.800-61r3" TargetMode="External"/><Relationship Id="rId34" Type="http://schemas.openxmlformats.org/officeDocument/2006/relationships/hyperlink" Target="https://www.cisa.gov/federal-incident-notification-guidelines" TargetMode="External"/><Relationship Id="rId33" Type="http://schemas.openxmlformats.org/officeDocument/2006/relationships/hyperlink" Target="https://www.cisa.gov/news-events/news/cisa-national-cyber-incident-scoring-system-nciss" TargetMode="External"/><Relationship Id="rId40" Type="http://schemas.openxmlformats.org/officeDocument/2006/relationships/hyperlink" Target="https://www.dni.gov/" TargetMode="External"/><Relationship Id="rId35" Type="http://schemas.openxmlformats.org/officeDocument/2006/relationships/hyperlink" Target="https://www.first.org/tlp/" TargetMode="External"/></Relationships>
</file>

<file path=word/_rels/footnotes.xml.rels><?xml version='1.0' encoding='UTF-8' standalone='yes'?>
<Relationships xmlns="http://schemas.openxmlformats.org/package/2006/relationships"><Relationship Id="rId41" Type="http://schemas.openxmlformats.org/officeDocument/2006/relationships/hyperlink" Target="https://armypubs.army.mil/" TargetMode="External"/><Relationship Id="rId36" Type="http://schemas.openxmlformats.org/officeDocument/2006/relationships/hyperlink" Target="https://attack.mitre.org/" TargetMode="External"/><Relationship Id="rId38" Type="http://schemas.openxmlformats.org/officeDocument/2006/relationships/hyperlink" Target="https://doi.org/10.6028/NIST.CSWP.29" TargetMode="External"/><Relationship Id="rId37" Type="http://schemas.openxmlformats.org/officeDocument/2006/relationships/hyperlink" Target="https://doi.org/10.6028/NIST.SP.800-61r2" TargetMode="External"/><Relationship Id="rId39" Type="http://schemas.openxmlformats.org/officeDocument/2006/relationships/hyperlink" Target="https://doi.org/10.6028/NIST.SP.800-61r3" TargetMode="External"/><Relationship Id="rId34" Type="http://schemas.openxmlformats.org/officeDocument/2006/relationships/hyperlink" Target="https://www.cisa.gov/federal-incident-notification-guidelines" TargetMode="External"/><Relationship Id="rId33" Type="http://schemas.openxmlformats.org/officeDocument/2006/relationships/hyperlink" Target="https://www.cisa.gov/news-events/news/cisa-national-cyber-incident-scoring-system-nciss" TargetMode="External"/><Relationship Id="rId40" Type="http://schemas.openxmlformats.org/officeDocument/2006/relationships/hyperlink" Target="https://www.dni.gov/" TargetMode="External"/><Relationship Id="rId35" Type="http://schemas.openxmlformats.org/officeDocument/2006/relationships/hyperlink" Target="https://www.first.org/t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Incident Executive Summary</dc:title>
  <dc:creator>Jim Furstenberg Ph.D., P.I.</dc:creator>
  <cp:keywords>Alerts to Answers, executive summary, field guide, v21</cp:keywords>
  <dcterms:created xsi:type="dcterms:W3CDTF">2026-09-16T21:01:05Z</dcterms:created>
  <dcterms:modified xsi:type="dcterms:W3CDTF">2026-09-16T21:01:05Z</dcterms:modified>
  <dc:subject>Alerts to Answers Analyst Field Guide 08 - v21</dc:subject>
</cp:coreProperties>
</file>

<file path=docProps/custom.xml><?xml version="1.0" encoding="utf-8"?>
<Properties xmlns="http://schemas.openxmlformats.org/officeDocument/2006/custom-properties" xmlns:vt="http://schemas.openxmlformats.org/officeDocument/2006/docPropsVTypes"/>
</file>